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13FFF" w14:textId="25A91C22" w:rsidR="00E75AAC" w:rsidRPr="00F8178E" w:rsidRDefault="00E75AAC" w:rsidP="00F8178E">
      <w:pPr>
        <w:jc w:val="center"/>
        <w:rPr>
          <w:b/>
          <w:sz w:val="28"/>
          <w:szCs w:val="28"/>
        </w:rPr>
      </w:pPr>
      <w:bookmarkStart w:id="0" w:name="_Ref500218714"/>
      <w:r w:rsidRPr="00F8178E">
        <w:rPr>
          <w:b/>
          <w:sz w:val="28"/>
          <w:szCs w:val="28"/>
        </w:rPr>
        <w:t>SPECIAL CONDITIONS</w:t>
      </w:r>
      <w:r w:rsidR="00347E82">
        <w:rPr>
          <w:b/>
          <w:sz w:val="28"/>
          <w:szCs w:val="28"/>
        </w:rPr>
        <w:t xml:space="preserve"> FOR EUROPEAN UNION EXTERNAL ACTIONS</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14:paraId="3A09671B" w14:textId="77777777" w:rsidR="009506A0" w:rsidRPr="0036136C" w:rsidRDefault="009506A0" w:rsidP="00215F58">
      <w:pPr>
        <w:pStyle w:val="StyleListNumber11ptBold"/>
      </w:pPr>
      <w:r w:rsidRPr="0036136C">
        <w:t>Order of precedence of contract documents</w:t>
      </w:r>
    </w:p>
    <w:p w14:paraId="15C54018" w14:textId="77777777"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14:paraId="4B388C32" w14:textId="03E58BE5"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14:paraId="53672BD6" w14:textId="1E2B012F"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14:paraId="196E6F14" w14:textId="3C7A9720" w:rsidR="00980C8D" w:rsidRPr="00B54EB7" w:rsidRDefault="009506A0" w:rsidP="00B54EB7">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14:paraId="61050893" w14:textId="3C35678B"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00B54EB7">
        <w:rPr>
          <w:sz w:val="22"/>
          <w:szCs w:val="22"/>
        </w:rPr>
        <w:t xml:space="preserve">eference </w:t>
      </w:r>
      <w:r w:rsidRPr="0036136C">
        <w:rPr>
          <w:sz w:val="22"/>
          <w:szCs w:val="22"/>
        </w:rPr>
        <w:t>(Annex II)</w:t>
      </w:r>
      <w:r w:rsidR="004115B2">
        <w:rPr>
          <w:sz w:val="22"/>
          <w:szCs w:val="22"/>
        </w:rPr>
        <w:t>;</w:t>
      </w:r>
    </w:p>
    <w:p w14:paraId="1926E185" w14:textId="7147EF56"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00EE7D57">
        <w:rPr>
          <w:sz w:val="22"/>
          <w:szCs w:val="22"/>
        </w:rPr>
        <w:t>rganisation and methodology</w:t>
      </w:r>
      <w:r w:rsidRPr="0036136C">
        <w:rPr>
          <w:sz w:val="22"/>
          <w:szCs w:val="22"/>
        </w:rPr>
        <w:t xml:space="preserve"> (Annex III);</w:t>
      </w:r>
    </w:p>
    <w:p w14:paraId="03A6774C" w14:textId="43BC4937" w:rsidR="009506A0" w:rsidRPr="0036136C" w:rsidRDefault="009506A0" w:rsidP="00215F58">
      <w:pPr>
        <w:numPr>
          <w:ilvl w:val="0"/>
          <w:numId w:val="4"/>
        </w:numPr>
        <w:spacing w:after="60"/>
        <w:ind w:left="709" w:hanging="284"/>
        <w:rPr>
          <w:sz w:val="22"/>
          <w:szCs w:val="22"/>
        </w:rPr>
      </w:pPr>
      <w:r w:rsidRPr="00EE7D57">
        <w:rPr>
          <w:sz w:val="22"/>
          <w:szCs w:val="22"/>
        </w:rPr>
        <w:t>Key experts (Annex IV</w:t>
      </w:r>
      <w:r w:rsidR="00B54EB7">
        <w:rPr>
          <w:sz w:val="22"/>
          <w:szCs w:val="22"/>
        </w:rPr>
        <w:t>)</w:t>
      </w:r>
      <w:r w:rsidRPr="0036136C">
        <w:rPr>
          <w:sz w:val="22"/>
          <w:szCs w:val="22"/>
        </w:rPr>
        <w:t>;</w:t>
      </w:r>
    </w:p>
    <w:p w14:paraId="243B5921" w14:textId="7682C7DA" w:rsidR="009506A0" w:rsidRPr="0036136C" w:rsidRDefault="009506A0" w:rsidP="00215F58">
      <w:pPr>
        <w:numPr>
          <w:ilvl w:val="0"/>
          <w:numId w:val="4"/>
        </w:numPr>
        <w:spacing w:after="60"/>
        <w:ind w:left="709" w:hanging="284"/>
        <w:rPr>
          <w:sz w:val="22"/>
          <w:szCs w:val="22"/>
        </w:rPr>
      </w:pPr>
      <w:r w:rsidRPr="0036136C">
        <w:rPr>
          <w:sz w:val="22"/>
          <w:szCs w:val="22"/>
        </w:rPr>
        <w:t xml:space="preserve">Budget </w:t>
      </w:r>
      <w:r w:rsidRPr="00EE7D57">
        <w:rPr>
          <w:sz w:val="22"/>
          <w:szCs w:val="22"/>
        </w:rPr>
        <w:t>breakdown</w:t>
      </w:r>
      <w:r w:rsidRPr="0036136C">
        <w:rPr>
          <w:sz w:val="22"/>
          <w:szCs w:val="22"/>
        </w:rPr>
        <w:t xml:space="preserve"> (Annex V);</w:t>
      </w:r>
    </w:p>
    <w:p w14:paraId="13D71B83" w14:textId="15881EDF"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00EE7D57">
        <w:rPr>
          <w:sz w:val="22"/>
          <w:szCs w:val="22"/>
        </w:rPr>
        <w:t>)</w:t>
      </w:r>
      <w:r w:rsidRPr="0036136C">
        <w:rPr>
          <w:sz w:val="22"/>
          <w:szCs w:val="22"/>
        </w:rPr>
        <w:t>;</w:t>
      </w:r>
    </w:p>
    <w:p w14:paraId="5F984158" w14:textId="77777777"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E33812" w:rsidDel="00A73B34">
        <w:rPr>
          <w:b/>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Pr="00215F58"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bookmarkEnd w:id="1"/>
    <w:p w14:paraId="471E0760" w14:textId="636595F4"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14:paraId="7441F0F5" w14:textId="5438C735" w:rsidR="001F27DE" w:rsidRPr="004F3059" w:rsidRDefault="001F27DE" w:rsidP="00215F58">
      <w:pPr>
        <w:keepNext/>
        <w:keepLines/>
        <w:spacing w:after="120"/>
        <w:ind w:left="567"/>
        <w:rPr>
          <w:sz w:val="22"/>
          <w:szCs w:val="22"/>
        </w:rPr>
      </w:pPr>
      <w:r w:rsidRPr="00F35EA6">
        <w:rPr>
          <w:sz w:val="22"/>
          <w:szCs w:val="22"/>
        </w:rPr>
        <w:t>An electronic system will be used by the contracting authority and the contractor for all stages of implementation including, inter alia, management of the contract (amendments and administrative orders), reporting (including reporting on results) and payments.</w:t>
      </w:r>
      <w:r w:rsidR="00743BBC" w:rsidRPr="00F35EA6">
        <w:rPr>
          <w:sz w:val="22"/>
          <w:szCs w:val="22"/>
        </w:rPr>
        <w:t xml:space="preserve"> </w:t>
      </w:r>
      <w:r w:rsidRPr="00F35EA6">
        <w:rPr>
          <w:sz w:val="22"/>
          <w:szCs w:val="22"/>
        </w:rPr>
        <w:t>The contractor will be required to register in and use the appropriate electronic exchange system to allow for the e-management of the contract. With regard to interim and final reports, if they are required according to Article 26</w:t>
      </w:r>
      <w:r w:rsidR="00A44781" w:rsidRPr="00F35EA6">
        <w:rPr>
          <w:sz w:val="22"/>
          <w:szCs w:val="22"/>
        </w:rPr>
        <w:t xml:space="preserve"> of the </w:t>
      </w:r>
      <w:r w:rsidR="0090799D" w:rsidRPr="00F35EA6">
        <w:rPr>
          <w:sz w:val="22"/>
          <w:szCs w:val="22"/>
        </w:rPr>
        <w:t>s</w:t>
      </w:r>
      <w:r w:rsidR="00A44781" w:rsidRPr="00F35EA6">
        <w:rPr>
          <w:sz w:val="22"/>
          <w:szCs w:val="22"/>
        </w:rPr>
        <w:t xml:space="preserve">pecial </w:t>
      </w:r>
      <w:r w:rsidR="0090799D" w:rsidRPr="00F35EA6">
        <w:rPr>
          <w:sz w:val="22"/>
          <w:szCs w:val="22"/>
        </w:rPr>
        <w:t>c</w:t>
      </w:r>
      <w:r w:rsidR="00A44781" w:rsidRPr="00F35EA6">
        <w:rPr>
          <w:sz w:val="22"/>
          <w:szCs w:val="22"/>
        </w:rPr>
        <w:t>onditions</w:t>
      </w:r>
      <w:r w:rsidRPr="00F35EA6">
        <w:rPr>
          <w:sz w:val="22"/>
          <w:szCs w:val="22"/>
        </w:rPr>
        <w:t xml:space="preserve"> or to the terms of reference, the contractor will be expected to use the forms in the electronic system for encoding and submitting the reports.</w:t>
      </w:r>
    </w:p>
    <w:p w14:paraId="15CF4B7E" w14:textId="35A66D63" w:rsidR="00556096" w:rsidRDefault="0095583E" w:rsidP="00215F58">
      <w:pPr>
        <w:pStyle w:val="paragraph"/>
        <w:ind w:left="567"/>
        <w:jc w:val="both"/>
        <w:textAlignment w:val="baseline"/>
        <w:rPr>
          <w:rStyle w:val="normaltextrun"/>
          <w:sz w:val="22"/>
          <w:szCs w:val="22"/>
          <w:lang w:val="en-GB"/>
        </w:rPr>
      </w:pPr>
      <w:r w:rsidRPr="000727A5">
        <w:rPr>
          <w:rStyle w:val="normaltextrun"/>
          <w:sz w:val="22"/>
          <w:szCs w:val="22"/>
          <w:highlight w:val="lightGray"/>
          <w:lang w:val="en-US"/>
        </w:rPr>
        <w:t xml:space="preserve">After the entry into force of this </w:t>
      </w:r>
      <w:r w:rsidRPr="000727A5">
        <w:rPr>
          <w:color w:val="000000"/>
          <w:sz w:val="22"/>
          <w:szCs w:val="22"/>
          <w:highlight w:val="lightGray"/>
          <w:lang w:val="en-GB"/>
        </w:rPr>
        <w:t>contract</w:t>
      </w:r>
      <w:r w:rsidRPr="000727A5">
        <w:rPr>
          <w:rStyle w:val="normaltextrun"/>
          <w:sz w:val="22"/>
          <w:szCs w:val="22"/>
          <w:highlight w:val="lightGray"/>
          <w:lang w:val="en-US"/>
        </w:rPr>
        <w:t xml:space="preserve">, at any time during its course the contracting authority may formally notify in writing the contractor that </w:t>
      </w:r>
      <w:r w:rsidRPr="000727A5">
        <w:rPr>
          <w:sz w:val="22"/>
          <w:szCs w:val="22"/>
          <w:highlight w:val="lightGray"/>
          <w:lang w:val="en-GB"/>
        </w:rPr>
        <w:t xml:space="preserve">certain communications will be made by electronic means through the </w:t>
      </w:r>
      <w:r w:rsidRPr="000727A5">
        <w:rPr>
          <w:sz w:val="22"/>
          <w:szCs w:val="22"/>
          <w:highlight w:val="lightGray"/>
          <w:lang w:val="en-GB" w:eastAsia="en-GB"/>
        </w:rPr>
        <w:t>EU Funding &amp; Tenders Portal (the</w:t>
      </w:r>
      <w:r w:rsidRPr="000727A5">
        <w:rPr>
          <w:sz w:val="22"/>
          <w:szCs w:val="22"/>
          <w:highlight w:val="lightGray"/>
          <w:lang w:val="en-GB"/>
        </w:rPr>
        <w:t xml:space="preserve"> Portal), in accordance with the Portal Terms and Conditions and using the forms and templates provided there. The Portal </w:t>
      </w:r>
      <w:r w:rsidRPr="000727A5">
        <w:rPr>
          <w:rStyle w:val="normaltextrun"/>
          <w:sz w:val="22"/>
          <w:szCs w:val="22"/>
          <w:highlight w:val="lightGray"/>
          <w:lang w:val="en-GB"/>
        </w:rPr>
        <w:t>can be accessed via the following URL:</w:t>
      </w:r>
      <w:r w:rsidR="00556096" w:rsidRPr="006B5952">
        <w:rPr>
          <w:lang w:val="en-IE"/>
        </w:rPr>
        <w:t xml:space="preserve"> </w:t>
      </w:r>
      <w:r w:rsidR="00556096" w:rsidRPr="000727A5">
        <w:rPr>
          <w:rStyle w:val="normaltextrun"/>
          <w:sz w:val="22"/>
          <w:szCs w:val="22"/>
          <w:highlight w:val="lightGray"/>
          <w:lang w:val="en-GB"/>
        </w:rPr>
        <w:fldChar w:fldCharType="begin"/>
      </w:r>
      <w:r w:rsidR="00556096" w:rsidRPr="000727A5">
        <w:rPr>
          <w:rStyle w:val="normaltextrun"/>
          <w:sz w:val="22"/>
          <w:szCs w:val="22"/>
          <w:highlight w:val="lightGray"/>
          <w:lang w:val="en-GB"/>
        </w:rPr>
        <w:instrText>"https://ec.europa.eu/info/funding-tenders/opportunities/portal/screen/home"</w:instrText>
      </w:r>
      <w:r w:rsidR="00556096" w:rsidRPr="000727A5">
        <w:rPr>
          <w:rStyle w:val="normaltextrun"/>
          <w:sz w:val="22"/>
          <w:szCs w:val="22"/>
          <w:highlight w:val="lightGray"/>
          <w:lang w:val="en-GB"/>
        </w:rPr>
        <w:fldChar w:fldCharType="separate"/>
      </w:r>
      <w:r w:rsidR="00556096" w:rsidRPr="000727A5">
        <w:rPr>
          <w:rStyle w:val="Hyperlink"/>
          <w:sz w:val="22"/>
          <w:szCs w:val="22"/>
          <w:highlight w:val="lightGray"/>
          <w:lang w:val="en-GB"/>
        </w:rPr>
        <w:t>https://ec.europa.eu/info/funding-tenders/opportunities/portal/screen/home</w:t>
      </w:r>
      <w:r w:rsidR="00556096" w:rsidRPr="000727A5">
        <w:rPr>
          <w:rStyle w:val="normaltextrun"/>
          <w:sz w:val="22"/>
          <w:szCs w:val="22"/>
          <w:highlight w:val="lightGray"/>
          <w:lang w:val="en-GB"/>
        </w:rPr>
        <w:fldChar w:fldCharType="end"/>
      </w:r>
    </w:p>
    <w:p w14:paraId="485D2FBE" w14:textId="4FD82E53" w:rsidR="0095583E" w:rsidRPr="000727A5" w:rsidRDefault="000727A5" w:rsidP="00215F58">
      <w:pPr>
        <w:pStyle w:val="paragraph"/>
        <w:ind w:left="567"/>
        <w:jc w:val="both"/>
        <w:textAlignment w:val="baseline"/>
        <w:rPr>
          <w:rStyle w:val="normaltextrun"/>
          <w:highlight w:val="lightGray"/>
          <w:lang w:val="en-US"/>
        </w:rPr>
      </w:pPr>
      <w:hyperlink r:id="rId8" w:history="1">
        <w:r w:rsidR="00291537" w:rsidRPr="000727A5">
          <w:rPr>
            <w:rStyle w:val="Hyperlink"/>
            <w:sz w:val="22"/>
            <w:szCs w:val="22"/>
            <w:highlight w:val="lightGray"/>
            <w:lang w:val="en-GB"/>
          </w:rPr>
          <w:t>https://ec.europa.eu/info/funding-tenders/opportunities/portal/screen/home</w:t>
        </w:r>
      </w:hyperlink>
      <w:r w:rsidR="0095583E" w:rsidRPr="000727A5">
        <w:rPr>
          <w:rStyle w:val="normaltextrun"/>
          <w:sz w:val="22"/>
          <w:szCs w:val="22"/>
          <w:highlight w:val="lightGray"/>
          <w:lang w:val="en-US"/>
        </w:rPr>
        <w:t xml:space="preserve">The notification shall indicate whether all or only certain communications under the </w:t>
      </w:r>
      <w:r w:rsidR="0095583E" w:rsidRPr="000727A5">
        <w:rPr>
          <w:color w:val="000000"/>
          <w:sz w:val="22"/>
          <w:szCs w:val="22"/>
          <w:highlight w:val="lightGray"/>
          <w:lang w:val="en-GB"/>
        </w:rPr>
        <w:t>contract</w:t>
      </w:r>
      <w:r w:rsidR="0095583E" w:rsidRPr="000727A5">
        <w:rPr>
          <w:rStyle w:val="normaltextrun"/>
          <w:sz w:val="22"/>
          <w:szCs w:val="22"/>
          <w:highlight w:val="lightGray"/>
          <w:lang w:val="en-US"/>
        </w:rPr>
        <w:t xml:space="preserve"> will take place through the Portal. The notification shall have full legal effect from the date specified therein, which shall allow a reasonable period of time for the contractor to complete all </w:t>
      </w:r>
      <w:r w:rsidR="0095583E" w:rsidRPr="000727A5">
        <w:rPr>
          <w:rStyle w:val="normaltextrun"/>
          <w:sz w:val="22"/>
          <w:szCs w:val="22"/>
          <w:highlight w:val="lightGray"/>
          <w:lang w:val="en-US"/>
        </w:rPr>
        <w:lastRenderedPageBreak/>
        <w:t>necessary steps to have access to the Portal.</w:t>
      </w:r>
      <w:r w:rsidR="0095583E" w:rsidRPr="000727A5">
        <w:rPr>
          <w:rStyle w:val="normaltextrun"/>
          <w:sz w:val="22"/>
          <w:szCs w:val="22"/>
          <w:highlight w:val="lightGray"/>
          <w:lang w:val="en-GB"/>
        </w:rPr>
        <w:t xml:space="preserve"> The activation of the use of the Portal shall be </w:t>
      </w:r>
      <w:r w:rsidR="0095583E" w:rsidRPr="000727A5">
        <w:rPr>
          <w:rStyle w:val="normaltextrun"/>
          <w:sz w:val="22"/>
          <w:szCs w:val="22"/>
          <w:highlight w:val="lightGray"/>
          <w:lang w:val="en-US"/>
        </w:rPr>
        <w:t>at no additional cost for the contracting authority</w:t>
      </w:r>
      <w:r w:rsidR="0095583E" w:rsidRPr="000727A5">
        <w:rPr>
          <w:rStyle w:val="normaltextrun"/>
          <w:sz w:val="22"/>
          <w:szCs w:val="22"/>
          <w:highlight w:val="lightGray"/>
          <w:lang w:val="en-GB"/>
        </w:rPr>
        <w:t>.</w:t>
      </w:r>
    </w:p>
    <w:p w14:paraId="39FD7200" w14:textId="77777777" w:rsidR="0095583E" w:rsidRPr="000727A5" w:rsidRDefault="0095583E" w:rsidP="00215F58">
      <w:pPr>
        <w:pStyle w:val="paragraph"/>
        <w:ind w:left="567"/>
        <w:jc w:val="both"/>
        <w:textAlignment w:val="baseline"/>
        <w:rPr>
          <w:highlight w:val="lightGray"/>
          <w:lang w:val="en-IE"/>
        </w:rPr>
      </w:pPr>
      <w:r w:rsidRPr="000727A5">
        <w:rPr>
          <w:rStyle w:val="normaltextrun"/>
          <w:sz w:val="22"/>
          <w:szCs w:val="22"/>
          <w:highlight w:val="lightGray"/>
          <w:lang w:val="en-GB"/>
        </w:rPr>
        <w:t xml:space="preserve">If the use of the Portal is activated, any communication covered by the activation notification related to the implementation of this </w:t>
      </w:r>
      <w:r w:rsidRPr="000727A5">
        <w:rPr>
          <w:color w:val="000000"/>
          <w:sz w:val="22"/>
          <w:szCs w:val="22"/>
          <w:highlight w:val="lightGray"/>
          <w:lang w:val="en-GB"/>
        </w:rPr>
        <w:t>contract</w:t>
      </w:r>
      <w:r w:rsidRPr="000727A5">
        <w:rPr>
          <w:rStyle w:val="normaltextrun"/>
          <w:sz w:val="22"/>
          <w:szCs w:val="22"/>
          <w:highlight w:val="lightGray"/>
          <w:lang w:val="en-GB"/>
        </w:rPr>
        <w:t xml:space="preserve"> shall be made through the </w:t>
      </w:r>
      <w:r w:rsidRPr="000727A5">
        <w:rPr>
          <w:rStyle w:val="normaltextrun"/>
          <w:bCs/>
          <w:sz w:val="22"/>
          <w:szCs w:val="22"/>
          <w:highlight w:val="lightGray"/>
          <w:lang w:val="en-GB"/>
        </w:rPr>
        <w:t>Portal</w:t>
      </w:r>
      <w:r w:rsidRPr="000727A5">
        <w:rPr>
          <w:rStyle w:val="normaltextrun"/>
          <w:bCs/>
          <w:sz w:val="22"/>
          <w:szCs w:val="22"/>
          <w:highlight w:val="lightGray"/>
          <w:lang w:val="en-IE"/>
        </w:rPr>
        <w:t xml:space="preserve"> </w:t>
      </w:r>
      <w:r w:rsidRPr="000727A5">
        <w:rPr>
          <w:bCs/>
          <w:sz w:val="22"/>
          <w:szCs w:val="22"/>
          <w:highlight w:val="lightGray"/>
          <w:lang w:val="en-GB"/>
        </w:rPr>
        <w:t>(except if explicitly instructed otherwise by the contracting authority or if communication via the Portal is hindered by factors beyond the control of the parties).</w:t>
      </w:r>
    </w:p>
    <w:p w14:paraId="4B0B4C01" w14:textId="77777777" w:rsidR="0095583E" w:rsidRPr="000727A5" w:rsidRDefault="0095583E" w:rsidP="00215F58">
      <w:pPr>
        <w:pStyle w:val="paragraph"/>
        <w:ind w:left="567"/>
        <w:jc w:val="both"/>
        <w:textAlignment w:val="baseline"/>
        <w:rPr>
          <w:rStyle w:val="eop"/>
          <w:highlight w:val="lightGray"/>
          <w:lang w:val="en-GB" w:eastAsia="en-US"/>
        </w:rPr>
      </w:pPr>
      <w:r w:rsidRPr="000727A5">
        <w:rPr>
          <w:sz w:val="22"/>
          <w:szCs w:val="22"/>
          <w:highlight w:val="lightGray"/>
          <w:lang w:val="en-US" w:eastAsia="en-GB"/>
        </w:rPr>
        <w:t xml:space="preserve">Communications by contractors through the Portal must be made by persons authorised according to the Portal Terms and Conditions. </w:t>
      </w:r>
      <w:r w:rsidRPr="000727A5">
        <w:rPr>
          <w:sz w:val="22"/>
          <w:szCs w:val="22"/>
          <w:highlight w:val="lightGray"/>
          <w:lang w:val="en-GB"/>
        </w:rPr>
        <w:t>For naming the authorised persons to use the Portal, each contractor must designate before the date of effect of the activation notification a ‘legal entity appointed representative (LEAR)’. The role and tasks of the LEAR are stipulated in their appointment letter (see Portal Terms and Conditions).</w:t>
      </w:r>
    </w:p>
    <w:p w14:paraId="0B6FB2AF" w14:textId="77777777" w:rsidR="0095583E" w:rsidRPr="000727A5" w:rsidRDefault="0095583E" w:rsidP="00743BBC">
      <w:pPr>
        <w:spacing w:before="120"/>
        <w:ind w:left="567"/>
        <w:textAlignment w:val="baseline"/>
        <w:rPr>
          <w:highlight w:val="lightGray"/>
          <w:lang w:eastAsia="fr-BE"/>
        </w:rPr>
      </w:pPr>
      <w:r w:rsidRPr="000727A5">
        <w:rPr>
          <w:sz w:val="22"/>
          <w:szCs w:val="22"/>
          <w:highlight w:val="lightGray"/>
          <w:lang w:eastAsia="fr-BE"/>
        </w:rPr>
        <w:t>If the communication via the Portal is hindered, instructions will be provided by the contracting authority by email and may also be published on the Portal.</w:t>
      </w:r>
    </w:p>
    <w:p w14:paraId="5726A1C3" w14:textId="77777777" w:rsidR="0095583E" w:rsidRPr="000727A5" w:rsidRDefault="0095583E" w:rsidP="00215F58">
      <w:pPr>
        <w:pStyle w:val="paragraph"/>
        <w:ind w:left="567"/>
        <w:jc w:val="both"/>
        <w:textAlignment w:val="baseline"/>
        <w:rPr>
          <w:sz w:val="22"/>
          <w:szCs w:val="22"/>
          <w:highlight w:val="lightGray"/>
          <w:lang w:val="en-GB"/>
        </w:rPr>
      </w:pPr>
      <w:r w:rsidRPr="000727A5">
        <w:rPr>
          <w:rStyle w:val="normaltextrun"/>
          <w:sz w:val="22"/>
          <w:szCs w:val="22"/>
          <w:highlight w:val="lightGray"/>
          <w:lang w:val="en-GB"/>
        </w:rPr>
        <w:t xml:space="preserve">During the course of the </w:t>
      </w:r>
      <w:r w:rsidRPr="000727A5">
        <w:rPr>
          <w:color w:val="000000"/>
          <w:sz w:val="22"/>
          <w:szCs w:val="22"/>
          <w:highlight w:val="lightGray"/>
          <w:lang w:val="en-GB"/>
        </w:rPr>
        <w:t>contract</w:t>
      </w:r>
      <w:r w:rsidRPr="000727A5">
        <w:rPr>
          <w:rStyle w:val="normaltextrun"/>
          <w:sz w:val="22"/>
          <w:szCs w:val="22"/>
          <w:highlight w:val="lightGray"/>
          <w:lang w:val="en-GB"/>
        </w:rPr>
        <w:t xml:space="preserve">, the contracting authority reserve(s) the right to further extend the coverage of the communications made through the Portal (if its use has been already activated) or to activate the use of other electronic exchange systems, </w:t>
      </w:r>
      <w:r w:rsidRPr="000727A5">
        <w:rPr>
          <w:rStyle w:val="normaltextrun"/>
          <w:sz w:val="22"/>
          <w:szCs w:val="22"/>
          <w:highlight w:val="lightGray"/>
          <w:lang w:val="en-US"/>
        </w:rPr>
        <w:t>at no additional cost for the contracting authority</w:t>
      </w:r>
      <w:r w:rsidRPr="000727A5">
        <w:rPr>
          <w:rStyle w:val="normaltextrun"/>
          <w:sz w:val="22"/>
          <w:szCs w:val="22"/>
          <w:highlight w:val="lightGray"/>
          <w:lang w:val="en-GB"/>
        </w:rPr>
        <w:t>.</w:t>
      </w:r>
    </w:p>
    <w:p w14:paraId="0018ACE8" w14:textId="1E328A44" w:rsidR="0095583E" w:rsidRDefault="0095583E" w:rsidP="00215F58">
      <w:pPr>
        <w:pStyle w:val="paragraph"/>
        <w:spacing w:before="120" w:beforeAutospacing="0" w:after="240" w:afterAutospacing="0"/>
        <w:ind w:left="567"/>
        <w:jc w:val="both"/>
        <w:rPr>
          <w:color w:val="000000"/>
          <w:sz w:val="22"/>
          <w:szCs w:val="22"/>
          <w:lang w:val="en-GB"/>
        </w:rPr>
      </w:pPr>
      <w:r w:rsidRPr="000727A5">
        <w:rPr>
          <w:rStyle w:val="eop"/>
          <w:sz w:val="22"/>
          <w:szCs w:val="22"/>
          <w:highlight w:val="lightGray"/>
          <w:lang w:val="en-GB"/>
        </w:rPr>
        <w:t xml:space="preserve">In case of discrepancy between the clauses of the </w:t>
      </w:r>
      <w:r w:rsidRPr="000727A5">
        <w:rPr>
          <w:color w:val="000000"/>
          <w:sz w:val="22"/>
          <w:szCs w:val="22"/>
          <w:highlight w:val="lightGray"/>
          <w:lang w:val="en-GB"/>
        </w:rPr>
        <w:t xml:space="preserve">Portal Terms and Conditions or Terms and Conditions of other electronic exchange system and the clauses of this contract, the clauses of this </w:t>
      </w:r>
      <w:r w:rsidR="002B791A" w:rsidRPr="000727A5">
        <w:rPr>
          <w:color w:val="000000"/>
          <w:sz w:val="22"/>
          <w:szCs w:val="22"/>
          <w:highlight w:val="lightGray"/>
          <w:lang w:val="en-GB"/>
        </w:rPr>
        <w:t xml:space="preserve">contract </w:t>
      </w:r>
      <w:r w:rsidRPr="000727A5">
        <w:rPr>
          <w:color w:val="000000"/>
          <w:sz w:val="22"/>
          <w:szCs w:val="22"/>
          <w:highlight w:val="lightGray"/>
          <w:lang w:val="en-GB"/>
        </w:rPr>
        <w:t>(including its annexes) shall prevail.</w:t>
      </w:r>
      <w:r w:rsidR="001F27DE">
        <w:rPr>
          <w:color w:val="000000"/>
          <w:sz w:val="22"/>
          <w:szCs w:val="22"/>
          <w:lang w:val="en-GB"/>
        </w:rPr>
        <w:t>]</w:t>
      </w:r>
    </w:p>
    <w:p w14:paraId="234823DA" w14:textId="5362A02C"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t>2.</w:t>
      </w:r>
      <w:r w:rsidR="00261C2A">
        <w:rPr>
          <w:rStyle w:val="normaltextrun"/>
          <w:i w:val="0"/>
          <w:iCs/>
          <w:sz w:val="22"/>
          <w:szCs w:val="22"/>
        </w:rPr>
        <w:t>5</w:t>
      </w:r>
      <w:r w:rsidR="00113F5C">
        <w:rPr>
          <w:rStyle w:val="normaltextrun"/>
          <w:i w:val="0"/>
          <w:iCs/>
          <w:sz w:val="22"/>
          <w:szCs w:val="22"/>
        </w:rPr>
        <w:t xml:space="preserve"> </w:t>
      </w:r>
      <w:r w:rsidR="00261C2A">
        <w:rPr>
          <w:rStyle w:val="normaltextrun"/>
          <w:i w:val="0"/>
          <w:iCs/>
          <w:sz w:val="22"/>
          <w:szCs w:val="22"/>
        </w:rPr>
        <w:t xml:space="preserve">&amp; 2.6 </w:t>
      </w:r>
      <w:r w:rsidR="0095583E" w:rsidRPr="00215F58">
        <w:rPr>
          <w:rStyle w:val="normaltextrun"/>
          <w:i w:val="0"/>
          <w:iCs/>
          <w:sz w:val="22"/>
          <w:szCs w:val="22"/>
        </w:rPr>
        <w:t>Mail or email communication</w:t>
      </w:r>
      <w:r w:rsidR="0095583E" w:rsidRPr="00215F58">
        <w:rPr>
          <w:rStyle w:val="eop"/>
          <w:i w:val="0"/>
          <w:iCs/>
          <w:sz w:val="22"/>
          <w:szCs w:val="22"/>
        </w:rPr>
        <w:t> </w:t>
      </w:r>
    </w:p>
    <w:p w14:paraId="615F3646" w14:textId="3DF9E9D9" w:rsidR="00424BB8" w:rsidRPr="00F35EA6" w:rsidRDefault="00424BB8" w:rsidP="0095583E">
      <w:pPr>
        <w:keepNext/>
        <w:keepLines/>
        <w:spacing w:after="120"/>
        <w:ind w:left="567"/>
        <w:rPr>
          <w:sz w:val="22"/>
          <w:szCs w:val="22"/>
        </w:rPr>
      </w:pPr>
      <w:r w:rsidRPr="00215F58">
        <w:rPr>
          <w:sz w:val="22"/>
          <w:szCs w:val="22"/>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r w:rsidRPr="00F35EA6">
        <w:rPr>
          <w:sz w:val="22"/>
          <w:szCs w:val="22"/>
        </w:rPr>
        <w:t>.</w:t>
      </w:r>
    </w:p>
    <w:p w14:paraId="4E03E01F" w14:textId="77777777"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14:paraId="05B9F6B5" w14:textId="22AE039E" w:rsidR="0095583E" w:rsidRDefault="0095583E" w:rsidP="002171A2">
      <w:pPr>
        <w:pStyle w:val="paragraph"/>
        <w:ind w:left="1194"/>
        <w:jc w:val="center"/>
        <w:textAlignment w:val="baseline"/>
        <w:rPr>
          <w:rStyle w:val="eop"/>
          <w:sz w:val="22"/>
          <w:szCs w:val="22"/>
          <w:lang w:val="en-GB"/>
        </w:rPr>
      </w:pPr>
      <w:r w:rsidRPr="00F35EA6">
        <w:rPr>
          <w:rStyle w:val="normaltextrun"/>
          <w:sz w:val="22"/>
          <w:szCs w:val="22"/>
          <w:lang w:val="en-GB"/>
        </w:rPr>
        <w:t>Contracting authority:</w:t>
      </w:r>
    </w:p>
    <w:p w14:paraId="26094A98" w14:textId="77777777" w:rsidR="007871BF" w:rsidRP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Municipality of Shkodra</w:t>
      </w:r>
    </w:p>
    <w:p w14:paraId="4D7F5F64" w14:textId="77777777" w:rsidR="007871BF" w:rsidRP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Public Services and Public Works Enterprise</w:t>
      </w:r>
    </w:p>
    <w:p w14:paraId="2A7B65AF" w14:textId="77777777" w:rsidR="007871BF" w:rsidRP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Address: Lagjia Tre Heronjte, 4001, Shkodër, Albania.</w:t>
      </w:r>
    </w:p>
    <w:p w14:paraId="5AF8A2B2" w14:textId="77777777" w:rsidR="007871BF" w:rsidRPr="007871BF" w:rsidRDefault="007871BF" w:rsidP="002171A2">
      <w:pPr>
        <w:spacing w:after="0"/>
        <w:ind w:left="5103"/>
        <w:jc w:val="center"/>
        <w:rPr>
          <w:lang w:val="en-US"/>
        </w:rPr>
      </w:pPr>
    </w:p>
    <w:p w14:paraId="0F866261" w14:textId="77777777" w:rsidR="007871BF" w:rsidRP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Project Manager</w:t>
      </w:r>
    </w:p>
    <w:p w14:paraId="3178E34E" w14:textId="77777777" w:rsidR="007871BF" w:rsidRP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Albi Çulaj</w:t>
      </w:r>
    </w:p>
    <w:p w14:paraId="05B4E66E" w14:textId="77777777" w:rsidR="007871BF" w:rsidRP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Tel. 0697717977</w:t>
      </w:r>
    </w:p>
    <w:p w14:paraId="07F8BB31" w14:textId="2D818456" w:rsidR="007871BF" w:rsidRDefault="007871BF" w:rsidP="002171A2">
      <w:pPr>
        <w:spacing w:after="0"/>
        <w:ind w:firstLine="720"/>
        <w:jc w:val="center"/>
        <w:rPr>
          <w:rFonts w:eastAsia="SimSun"/>
          <w:color w:val="000000"/>
          <w:sz w:val="22"/>
          <w:szCs w:val="22"/>
          <w:lang w:val="en-US" w:eastAsia="zh-CN" w:bidi="ar"/>
        </w:rPr>
      </w:pPr>
      <w:r w:rsidRPr="007871BF">
        <w:rPr>
          <w:rFonts w:eastAsia="SimSun"/>
          <w:color w:val="000000"/>
          <w:sz w:val="22"/>
          <w:szCs w:val="22"/>
          <w:lang w:val="en-US" w:eastAsia="zh-CN" w:bidi="ar"/>
        </w:rPr>
        <w:t xml:space="preserve">email: </w:t>
      </w:r>
      <w:hyperlink r:id="rId9" w:history="1">
        <w:r w:rsidR="005459DD" w:rsidRPr="00CA2891">
          <w:rPr>
            <w:rStyle w:val="Hyperlink"/>
            <w:rFonts w:eastAsia="SimSun"/>
            <w:sz w:val="22"/>
            <w:szCs w:val="22"/>
            <w:lang w:val="en-US" w:eastAsia="zh-CN" w:bidi="ar"/>
          </w:rPr>
          <w:t>nshpp@bashkiashkoder.gov.al</w:t>
        </w:r>
      </w:hyperlink>
    </w:p>
    <w:p w14:paraId="7B7E0009" w14:textId="77777777" w:rsidR="005459DD" w:rsidRPr="007871BF" w:rsidRDefault="005459DD" w:rsidP="007871BF">
      <w:pPr>
        <w:spacing w:after="0"/>
        <w:ind w:firstLine="720"/>
        <w:jc w:val="left"/>
        <w:rPr>
          <w:rFonts w:eastAsia="SimSun"/>
          <w:color w:val="000000"/>
          <w:sz w:val="22"/>
          <w:szCs w:val="22"/>
          <w:highlight w:val="yellow"/>
          <w:lang w:val="en-US" w:eastAsia="zh-CN" w:bidi="ar"/>
        </w:rPr>
      </w:pPr>
    </w:p>
    <w:p w14:paraId="41524751" w14:textId="651E7766" w:rsidR="0095583E" w:rsidRPr="00113F5C" w:rsidRDefault="0095583E" w:rsidP="005459DD">
      <w:pPr>
        <w:pStyle w:val="paragraph"/>
        <w:spacing w:after="0" w:afterAutospacing="0"/>
        <w:ind w:firstLine="720"/>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14:paraId="0C86C618"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14:paraId="296A4E21"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14:paraId="6E43FF6F"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14:paraId="41AB2F0C"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14:paraId="5F38C496" w14:textId="50AD7D5D"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14:paraId="6F5B7A47" w14:textId="77777777" w:rsidR="007804F8" w:rsidRDefault="007804F8" w:rsidP="00625EC3">
      <w:pPr>
        <w:keepNext/>
        <w:keepLines/>
        <w:spacing w:after="120"/>
        <w:rPr>
          <w:b/>
          <w:sz w:val="22"/>
          <w:szCs w:val="22"/>
          <w:lang w:eastAsia="en-US"/>
        </w:rPr>
      </w:pPr>
    </w:p>
    <w:p w14:paraId="06FC1F72" w14:textId="76B3EB6C" w:rsidR="0095583E" w:rsidRPr="00625EC3" w:rsidRDefault="00625EC3" w:rsidP="00625EC3">
      <w:pPr>
        <w:keepNext/>
        <w:keepLines/>
        <w:spacing w:after="120"/>
        <w:rPr>
          <w:b/>
          <w:sz w:val="22"/>
          <w:szCs w:val="22"/>
          <w:lang w:eastAsia="en-US"/>
        </w:rPr>
      </w:pPr>
      <w:r w:rsidRPr="00625EC3">
        <w:rPr>
          <w:b/>
          <w:sz w:val="22"/>
          <w:szCs w:val="22"/>
          <w:lang w:eastAsia="en-US"/>
        </w:rPr>
        <w:t>Article 6</w:t>
      </w:r>
      <w:r>
        <w:rPr>
          <w:b/>
          <w:sz w:val="22"/>
          <w:szCs w:val="22"/>
          <w:lang w:eastAsia="en-US"/>
        </w:rPr>
        <w:t xml:space="preserve">      </w:t>
      </w:r>
      <w:r w:rsidRPr="00625EC3">
        <w:rPr>
          <w:b/>
          <w:sz w:val="22"/>
          <w:szCs w:val="22"/>
          <w:lang w:eastAsia="en-US"/>
        </w:rPr>
        <w:t xml:space="preserve"> Subcontracting</w:t>
      </w:r>
    </w:p>
    <w:p w14:paraId="1721785F" w14:textId="736E3FE3" w:rsidR="009A0073" w:rsidRPr="00625EC3" w:rsidRDefault="00625EC3" w:rsidP="00625EC3">
      <w:pPr>
        <w:keepNext/>
        <w:keepLines/>
        <w:spacing w:after="120"/>
      </w:pPr>
      <w:r>
        <w:t>Not applicable</w:t>
      </w:r>
    </w:p>
    <w:p w14:paraId="18E30493" w14:textId="26DEB079" w:rsidR="00186098"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4824D6D1" w14:textId="25839AB3" w:rsidR="00625EC3" w:rsidRPr="00BD19DE" w:rsidRDefault="00625EC3" w:rsidP="00BD19DE">
      <w:pPr>
        <w:pStyle w:val="ListNumber"/>
        <w:numPr>
          <w:ilvl w:val="0"/>
          <w:numId w:val="0"/>
        </w:numPr>
        <w:tabs>
          <w:tab w:val="left" w:pos="1134"/>
        </w:tabs>
        <w:ind w:left="567" w:hanging="567"/>
        <w:rPr>
          <w:b/>
          <w:sz w:val="22"/>
          <w:szCs w:val="22"/>
        </w:rPr>
      </w:pPr>
      <w:r>
        <w:t>Not applicable</w:t>
      </w:r>
    </w:p>
    <w:p w14:paraId="583348F4" w14:textId="7668C068"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9A0073" w:rsidRPr="00497B77">
        <w:rPr>
          <w:sz w:val="22"/>
          <w:szCs w:val="22"/>
        </w:rPr>
        <w:t xml:space="preserve">Activities undertaken and outputs to be put in place by the contractor such as workshops, seminars, events, reports and publications will be performed including the relevant visibility elements as per minimum obligation towards visibility. These activities must comply with the rules lay down in the Communication and Visibility Manual </w:t>
      </w:r>
      <w:r w:rsidR="009A0073">
        <w:rPr>
          <w:sz w:val="22"/>
          <w:szCs w:val="22"/>
        </w:rPr>
        <w:t>of the Programme IPA South Adriatic.</w:t>
      </w:r>
    </w:p>
    <w:p w14:paraId="42829268" w14:textId="77777777" w:rsidR="003A718E" w:rsidRPr="00DC413F" w:rsidRDefault="003A718E" w:rsidP="00215F58">
      <w:pPr>
        <w:tabs>
          <w:tab w:val="left" w:pos="1134"/>
        </w:tabs>
        <w:spacing w:before="120" w:after="0"/>
        <w:ind w:left="1134" w:hanging="1134"/>
        <w:rPr>
          <w:b/>
        </w:rPr>
      </w:pPr>
      <w:r w:rsidRPr="00DC413F">
        <w:rPr>
          <w:b/>
        </w:rPr>
        <w:t>Article 12 - Liabilities</w:t>
      </w:r>
    </w:p>
    <w:p w14:paraId="36FCF48F" w14:textId="5CA6FA08" w:rsidR="003A718E" w:rsidRDefault="005459DD" w:rsidP="005459DD">
      <w:pPr>
        <w:tabs>
          <w:tab w:val="left" w:pos="567"/>
        </w:tabs>
        <w:spacing w:before="240" w:after="120"/>
        <w:ind w:left="567" w:hanging="567"/>
        <w:rPr>
          <w:sz w:val="22"/>
          <w:szCs w:val="22"/>
        </w:rPr>
      </w:pPr>
      <w:r>
        <w:rPr>
          <w:sz w:val="22"/>
          <w:szCs w:val="22"/>
        </w:rPr>
        <w:t>12.1</w:t>
      </w:r>
      <w:r w:rsidR="003A718E" w:rsidRPr="00B547BD">
        <w:rPr>
          <w:sz w:val="22"/>
          <w:szCs w:val="22"/>
        </w:rPr>
        <w:t xml:space="preserve"> </w:t>
      </w:r>
      <w:r>
        <w:rPr>
          <w:sz w:val="22"/>
          <w:szCs w:val="22"/>
        </w:rPr>
        <w:t xml:space="preserve">(a) </w:t>
      </w:r>
      <w:r w:rsidR="00B547BD" w:rsidRPr="00B547BD">
        <w:rPr>
          <w:sz w:val="22"/>
          <w:szCs w:val="22"/>
        </w:rPr>
        <w:tab/>
      </w:r>
      <w:r w:rsidR="00D72E94">
        <w:rPr>
          <w:sz w:val="22"/>
          <w:szCs w:val="22"/>
        </w:rPr>
        <w:t>‘</w:t>
      </w:r>
      <w:r w:rsidR="003A718E" w:rsidRPr="005459DD">
        <w:rPr>
          <w:sz w:val="22"/>
          <w:szCs w:val="22"/>
        </w:rPr>
        <w:t xml:space="preserve">By way of derogation from Article 12.2, paragraph 2, of the general conditions, compensation for damage resulting from the </w:t>
      </w:r>
      <w:r w:rsidR="00C559EF" w:rsidRPr="005459DD">
        <w:rPr>
          <w:sz w:val="22"/>
          <w:szCs w:val="22"/>
        </w:rPr>
        <w:t>c</w:t>
      </w:r>
      <w:r w:rsidR="003A718E" w:rsidRPr="005459DD">
        <w:rPr>
          <w:sz w:val="22"/>
          <w:szCs w:val="22"/>
        </w:rPr>
        <w:t xml:space="preserve">ontractor's </w:t>
      </w:r>
      <w:r w:rsidR="00A52BB8" w:rsidRPr="005459DD">
        <w:rPr>
          <w:sz w:val="22"/>
          <w:szCs w:val="22"/>
        </w:rPr>
        <w:t>l</w:t>
      </w:r>
      <w:r w:rsidR="003A718E" w:rsidRPr="005459DD">
        <w:rPr>
          <w:sz w:val="22"/>
          <w:szCs w:val="22"/>
        </w:rPr>
        <w:t>i</w:t>
      </w:r>
      <w:r w:rsidR="00A52BB8" w:rsidRPr="005459DD">
        <w:rPr>
          <w:sz w:val="22"/>
          <w:szCs w:val="22"/>
        </w:rPr>
        <w:t>a</w:t>
      </w:r>
      <w:r w:rsidR="003A718E" w:rsidRPr="005459DD">
        <w:rPr>
          <w:sz w:val="22"/>
          <w:szCs w:val="22"/>
        </w:rPr>
        <w:t xml:space="preserve">bility in respect of the </w:t>
      </w:r>
      <w:r w:rsidR="00C559EF" w:rsidRPr="005459DD">
        <w:rPr>
          <w:sz w:val="22"/>
          <w:szCs w:val="22"/>
        </w:rPr>
        <w:t>c</w:t>
      </w:r>
      <w:r w:rsidR="003A718E" w:rsidRPr="005459DD">
        <w:rPr>
          <w:sz w:val="22"/>
          <w:szCs w:val="22"/>
        </w:rPr>
        <w:t xml:space="preserve">ontracting </w:t>
      </w:r>
      <w:r w:rsidR="00C559EF" w:rsidRPr="005459DD">
        <w:rPr>
          <w:sz w:val="22"/>
          <w:szCs w:val="22"/>
        </w:rPr>
        <w:t>a</w:t>
      </w:r>
      <w:r w:rsidR="003A718E" w:rsidRPr="005459DD">
        <w:rPr>
          <w:sz w:val="22"/>
          <w:szCs w:val="22"/>
        </w:rPr>
        <w:t>uthority is capped at an amount equal to</w:t>
      </w:r>
      <w:r w:rsidR="003A718E" w:rsidRPr="00B547BD">
        <w:rPr>
          <w:sz w:val="22"/>
          <w:szCs w:val="22"/>
        </w:rPr>
        <w:t xml:space="preserve"> </w:t>
      </w:r>
      <w:r>
        <w:rPr>
          <w:sz w:val="22"/>
          <w:szCs w:val="22"/>
        </w:rPr>
        <w:t xml:space="preserve">this </w:t>
      </w:r>
      <w:r w:rsidR="003A718E" w:rsidRPr="005459DD">
        <w:rPr>
          <w:sz w:val="22"/>
          <w:szCs w:val="22"/>
        </w:rPr>
        <w:t xml:space="preserve"> contract value</w:t>
      </w:r>
      <w:r>
        <w:rPr>
          <w:sz w:val="22"/>
          <w:szCs w:val="22"/>
        </w:rPr>
        <w:t>.</w:t>
      </w:r>
    </w:p>
    <w:p w14:paraId="1F1B1DB5" w14:textId="46D0680E" w:rsidR="00B8227D" w:rsidRPr="005459DD" w:rsidRDefault="005459DD" w:rsidP="005459DD">
      <w:pPr>
        <w:tabs>
          <w:tab w:val="left" w:pos="1134"/>
        </w:tabs>
        <w:spacing w:before="240" w:after="120"/>
        <w:rPr>
          <w:sz w:val="22"/>
          <w:szCs w:val="22"/>
        </w:rPr>
      </w:pPr>
      <w:r>
        <w:rPr>
          <w:sz w:val="22"/>
          <w:szCs w:val="22"/>
        </w:rPr>
        <w:t>12.1</w:t>
      </w:r>
      <w:r w:rsidRPr="00B547BD">
        <w:rPr>
          <w:sz w:val="22"/>
          <w:szCs w:val="22"/>
        </w:rPr>
        <w:t xml:space="preserve"> </w:t>
      </w:r>
      <w:r>
        <w:rPr>
          <w:sz w:val="22"/>
          <w:szCs w:val="22"/>
        </w:rPr>
        <w:t xml:space="preserve">(b)  </w:t>
      </w:r>
      <w:r w:rsidR="00D72E94">
        <w:rPr>
          <w:sz w:val="22"/>
          <w:szCs w:val="22"/>
        </w:rPr>
        <w:t>‘</w:t>
      </w:r>
      <w:r w:rsidR="007C7F72" w:rsidRPr="005459DD">
        <w:rPr>
          <w:sz w:val="22"/>
          <w:szCs w:val="22"/>
        </w:rPr>
        <w:t xml:space="preserve">By way of derogation from Article 12.2, paragraph 2, of the general conditions, compensation for damage resulting from the </w:t>
      </w:r>
      <w:r w:rsidR="00C559EF" w:rsidRPr="005459DD">
        <w:rPr>
          <w:sz w:val="22"/>
          <w:szCs w:val="22"/>
        </w:rPr>
        <w:t>c</w:t>
      </w:r>
      <w:r w:rsidR="007C7F72" w:rsidRPr="005459DD">
        <w:rPr>
          <w:sz w:val="22"/>
          <w:szCs w:val="22"/>
        </w:rPr>
        <w:t xml:space="preserve">ontractor's liability in respect of the </w:t>
      </w:r>
      <w:r w:rsidR="00C559EF" w:rsidRPr="005459DD">
        <w:rPr>
          <w:sz w:val="22"/>
          <w:szCs w:val="22"/>
        </w:rPr>
        <w:t>c</w:t>
      </w:r>
      <w:r w:rsidR="007C7F72" w:rsidRPr="005459DD">
        <w:rPr>
          <w:sz w:val="22"/>
          <w:szCs w:val="22"/>
        </w:rPr>
        <w:t xml:space="preserve">ontracting </w:t>
      </w:r>
      <w:r w:rsidR="00C559EF" w:rsidRPr="005459DD">
        <w:rPr>
          <w:sz w:val="22"/>
          <w:szCs w:val="22"/>
        </w:rPr>
        <w:t>a</w:t>
      </w:r>
      <w:r w:rsidR="007C7F72" w:rsidRPr="005459DD">
        <w:rPr>
          <w:sz w:val="22"/>
          <w:szCs w:val="22"/>
        </w:rPr>
        <w:t xml:space="preserve">uthority is capped </w:t>
      </w:r>
      <w:r w:rsidR="007832C5" w:rsidRPr="005459DD">
        <w:rPr>
          <w:sz w:val="22"/>
          <w:szCs w:val="22"/>
        </w:rPr>
        <w:t>at an amount equal to</w:t>
      </w:r>
      <w:r w:rsidR="007832C5" w:rsidRPr="00B547BD">
        <w:rPr>
          <w:sz w:val="22"/>
          <w:szCs w:val="22"/>
        </w:rPr>
        <w:t xml:space="preserve"> </w:t>
      </w:r>
      <w:r>
        <w:rPr>
          <w:sz w:val="22"/>
          <w:szCs w:val="22"/>
        </w:rPr>
        <w:t>this contract value.</w:t>
      </w:r>
    </w:p>
    <w:p w14:paraId="6E4F72C8" w14:textId="6D5E023D"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14:paraId="78F34E2D" w14:textId="77777777"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14:paraId="0380DBB3" w14:textId="0D50841E" w:rsidR="00B252A4" w:rsidRDefault="00B252A4" w:rsidP="00AA2C7A">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AA2C7A">
        <w:rPr>
          <w:sz w:val="22"/>
          <w:szCs w:val="22"/>
        </w:rPr>
        <w:t>Not applicable</w:t>
      </w:r>
    </w:p>
    <w:p w14:paraId="01791090" w14:textId="77777777"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14:paraId="703EA51E" w14:textId="00C3D121" w:rsidR="00C76AB4" w:rsidRPr="0036136C" w:rsidRDefault="00694695" w:rsidP="00AA2C7A">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AA2C7A">
        <w:rPr>
          <w:sz w:val="22"/>
          <w:szCs w:val="22"/>
        </w:rPr>
        <w:tab/>
        <w:t>Not applicable</w:t>
      </w: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45896D1F" w14:textId="428B1CFA" w:rsidR="000339D4" w:rsidRPr="00AA2C7A" w:rsidRDefault="00A1628E" w:rsidP="00AA2C7A">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r w:rsidR="00B8227D" w:rsidRPr="0036136C">
        <w:rPr>
          <w:sz w:val="22"/>
          <w:szCs w:val="22"/>
          <w:highlight w:val="yellow"/>
        </w:rPr>
        <w:t xml:space="preserve"> </w:t>
      </w:r>
    </w:p>
    <w:tbl>
      <w:tblPr>
        <w:tblW w:w="8609" w:type="dxa"/>
        <w:tblInd w:w="28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521"/>
        <w:gridCol w:w="4536"/>
        <w:gridCol w:w="2552"/>
      </w:tblGrid>
      <w:tr w:rsidR="00E240BC" w:rsidRPr="00E240BC" w14:paraId="31DF187E" w14:textId="77777777" w:rsidTr="0023367F">
        <w:trPr>
          <w:cantSplit/>
          <w:trHeight w:val="345"/>
        </w:trPr>
        <w:tc>
          <w:tcPr>
            <w:tcW w:w="1521" w:type="dxa"/>
          </w:tcPr>
          <w:p w14:paraId="4E4DA84A" w14:textId="77777777" w:rsidR="00E240BC" w:rsidRPr="00E240BC" w:rsidRDefault="00E240BC" w:rsidP="00E240BC">
            <w:pPr>
              <w:keepNext/>
              <w:spacing w:before="40" w:after="40"/>
              <w:jc w:val="center"/>
              <w:rPr>
                <w:b/>
                <w:sz w:val="22"/>
                <w:szCs w:val="22"/>
              </w:rPr>
            </w:pPr>
            <w:bookmarkStart w:id="2" w:name="_Hlk167465553"/>
            <w:r w:rsidRPr="00E240BC">
              <w:rPr>
                <w:b/>
                <w:sz w:val="22"/>
                <w:szCs w:val="22"/>
              </w:rPr>
              <w:t>Month</w:t>
            </w:r>
          </w:p>
        </w:tc>
        <w:tc>
          <w:tcPr>
            <w:tcW w:w="4536" w:type="dxa"/>
          </w:tcPr>
          <w:p w14:paraId="143DFEA5" w14:textId="77777777" w:rsidR="00E240BC" w:rsidRPr="00E240BC" w:rsidRDefault="00E240BC" w:rsidP="00E240BC">
            <w:pPr>
              <w:keepNext/>
              <w:spacing w:before="40" w:after="40"/>
              <w:rPr>
                <w:b/>
                <w:sz w:val="22"/>
                <w:szCs w:val="22"/>
              </w:rPr>
            </w:pPr>
          </w:p>
        </w:tc>
        <w:tc>
          <w:tcPr>
            <w:tcW w:w="2552" w:type="dxa"/>
          </w:tcPr>
          <w:p w14:paraId="295EB8AA" w14:textId="1834F1DA" w:rsidR="00E240BC" w:rsidRPr="00E240BC" w:rsidRDefault="00E240BC" w:rsidP="00E240BC">
            <w:pPr>
              <w:keepNext/>
              <w:spacing w:before="40" w:after="40"/>
              <w:jc w:val="center"/>
              <w:rPr>
                <w:b/>
                <w:sz w:val="22"/>
                <w:szCs w:val="22"/>
              </w:rPr>
            </w:pPr>
            <w:r w:rsidRPr="00C471A9">
              <w:rPr>
                <w:b/>
                <w:sz w:val="22"/>
                <w:szCs w:val="22"/>
              </w:rPr>
              <w:t>15</w:t>
            </w:r>
            <w:r>
              <w:rPr>
                <w:b/>
                <w:sz w:val="22"/>
                <w:szCs w:val="22"/>
              </w:rPr>
              <w:t>,</w:t>
            </w:r>
            <w:r w:rsidRPr="00C471A9">
              <w:rPr>
                <w:b/>
                <w:sz w:val="22"/>
                <w:szCs w:val="22"/>
              </w:rPr>
              <w:t>000 eur or 1,457,550</w:t>
            </w:r>
            <w:r w:rsidRPr="00C471A9">
              <w:rPr>
                <w:sz w:val="22"/>
                <w:szCs w:val="22"/>
              </w:rPr>
              <w:t xml:space="preserve"> </w:t>
            </w:r>
            <w:r w:rsidRPr="00C471A9">
              <w:rPr>
                <w:b/>
                <w:sz w:val="22"/>
                <w:szCs w:val="22"/>
              </w:rPr>
              <w:t>lekë</w:t>
            </w:r>
          </w:p>
        </w:tc>
      </w:tr>
      <w:tr w:rsidR="00E240BC" w:rsidRPr="00E240BC" w14:paraId="1F7AEE97" w14:textId="77777777" w:rsidTr="0023367F">
        <w:trPr>
          <w:cantSplit/>
          <w:trHeight w:val="693"/>
        </w:trPr>
        <w:tc>
          <w:tcPr>
            <w:tcW w:w="1521" w:type="dxa"/>
          </w:tcPr>
          <w:p w14:paraId="56BB5F3B" w14:textId="77777777" w:rsidR="00E240BC" w:rsidRPr="00E240BC" w:rsidRDefault="00E240BC" w:rsidP="00E240BC">
            <w:pPr>
              <w:keepNext/>
              <w:spacing w:before="40" w:after="40"/>
              <w:jc w:val="center"/>
              <w:rPr>
                <w:b/>
                <w:sz w:val="22"/>
                <w:szCs w:val="22"/>
              </w:rPr>
            </w:pPr>
            <w:r w:rsidRPr="00E240BC">
              <w:rPr>
                <w:b/>
                <w:sz w:val="22"/>
                <w:szCs w:val="22"/>
              </w:rPr>
              <w:t>1</w:t>
            </w:r>
          </w:p>
        </w:tc>
        <w:tc>
          <w:tcPr>
            <w:tcW w:w="4536" w:type="dxa"/>
          </w:tcPr>
          <w:p w14:paraId="6D4142E2" w14:textId="6BE34CDA" w:rsidR="00E240BC" w:rsidRPr="00E240BC" w:rsidRDefault="00E240BC" w:rsidP="00E240BC">
            <w:pPr>
              <w:keepNext/>
              <w:spacing w:before="40" w:after="40"/>
              <w:rPr>
                <w:b/>
                <w:sz w:val="22"/>
                <w:szCs w:val="22"/>
              </w:rPr>
            </w:pPr>
            <w:r w:rsidRPr="00E240BC">
              <w:rPr>
                <w:b/>
                <w:sz w:val="22"/>
                <w:szCs w:val="22"/>
              </w:rPr>
              <w:t>Maximum pre-financing payment</w:t>
            </w:r>
          </w:p>
        </w:tc>
        <w:tc>
          <w:tcPr>
            <w:tcW w:w="2552" w:type="dxa"/>
          </w:tcPr>
          <w:p w14:paraId="7BAFB9E1" w14:textId="1811B034" w:rsidR="00E240BC" w:rsidRPr="00E240BC" w:rsidRDefault="00E240BC" w:rsidP="00E240BC">
            <w:pPr>
              <w:keepNext/>
              <w:spacing w:before="40" w:after="40"/>
              <w:jc w:val="center"/>
              <w:rPr>
                <w:sz w:val="22"/>
                <w:szCs w:val="22"/>
              </w:rPr>
            </w:pPr>
            <w:r w:rsidRPr="0023367F">
              <w:rPr>
                <w:sz w:val="22"/>
                <w:szCs w:val="22"/>
              </w:rPr>
              <w:t>40</w:t>
            </w:r>
            <w:r w:rsidRPr="00E240BC">
              <w:rPr>
                <w:w w:val="50"/>
                <w:sz w:val="22"/>
                <w:szCs w:val="22"/>
              </w:rPr>
              <w:t> </w:t>
            </w:r>
            <w:r w:rsidRPr="00E240BC">
              <w:rPr>
                <w:sz w:val="22"/>
                <w:szCs w:val="22"/>
              </w:rPr>
              <w:t>% of the contract value</w:t>
            </w:r>
          </w:p>
        </w:tc>
      </w:tr>
      <w:tr w:rsidR="00E240BC" w:rsidRPr="00E240BC" w14:paraId="4462E36E" w14:textId="77777777" w:rsidTr="0023367F">
        <w:trPr>
          <w:cantSplit/>
          <w:trHeight w:val="831"/>
        </w:trPr>
        <w:tc>
          <w:tcPr>
            <w:tcW w:w="1521" w:type="dxa"/>
            <w:tcBorders>
              <w:bottom w:val="nil"/>
            </w:tcBorders>
          </w:tcPr>
          <w:p w14:paraId="4A1FE874" w14:textId="7E438A31" w:rsidR="00E240BC" w:rsidRPr="00E240BC" w:rsidRDefault="00E240BC" w:rsidP="00E240BC">
            <w:pPr>
              <w:spacing w:before="40" w:after="40"/>
              <w:jc w:val="center"/>
              <w:rPr>
                <w:b/>
                <w:sz w:val="22"/>
                <w:szCs w:val="22"/>
              </w:rPr>
            </w:pPr>
            <w:r>
              <w:rPr>
                <w:b/>
                <w:sz w:val="22"/>
                <w:szCs w:val="22"/>
              </w:rPr>
              <w:t>December 2026</w:t>
            </w:r>
          </w:p>
        </w:tc>
        <w:tc>
          <w:tcPr>
            <w:tcW w:w="4536" w:type="dxa"/>
            <w:tcBorders>
              <w:bottom w:val="nil"/>
            </w:tcBorders>
            <w:shd w:val="clear" w:color="auto" w:fill="auto"/>
          </w:tcPr>
          <w:p w14:paraId="45257C90" w14:textId="38C99408" w:rsidR="00E240BC" w:rsidRPr="00E240BC" w:rsidRDefault="00E240BC" w:rsidP="00E240BC">
            <w:pPr>
              <w:ind w:left="567" w:hanging="567"/>
              <w:rPr>
                <w:sz w:val="22"/>
                <w:szCs w:val="22"/>
              </w:rPr>
            </w:pPr>
            <w:r w:rsidRPr="00E240BC">
              <w:rPr>
                <w:sz w:val="22"/>
                <w:szCs w:val="22"/>
              </w:rPr>
              <w:t xml:space="preserve"> </w:t>
            </w:r>
            <w:r w:rsidRPr="0023367F">
              <w:rPr>
                <w:sz w:val="22"/>
                <w:szCs w:val="22"/>
              </w:rPr>
              <w:t>Interim payment</w:t>
            </w:r>
            <w:r>
              <w:rPr>
                <w:sz w:val="22"/>
                <w:szCs w:val="22"/>
              </w:rPr>
              <w:t xml:space="preserve"> </w:t>
            </w:r>
          </w:p>
          <w:p w14:paraId="4A2872A9" w14:textId="77777777" w:rsidR="00E240BC" w:rsidRPr="00E240BC" w:rsidRDefault="00E240BC" w:rsidP="00E240BC">
            <w:pPr>
              <w:spacing w:before="40" w:after="40"/>
              <w:rPr>
                <w:b/>
                <w:sz w:val="22"/>
                <w:szCs w:val="22"/>
              </w:rPr>
            </w:pPr>
          </w:p>
        </w:tc>
        <w:tc>
          <w:tcPr>
            <w:tcW w:w="2552" w:type="dxa"/>
            <w:tcBorders>
              <w:bottom w:val="nil"/>
            </w:tcBorders>
          </w:tcPr>
          <w:p w14:paraId="0CC388C7" w14:textId="161B9F5A" w:rsidR="00E240BC" w:rsidRPr="00E240BC" w:rsidRDefault="00E240BC" w:rsidP="00E240BC">
            <w:pPr>
              <w:spacing w:after="0"/>
              <w:jc w:val="center"/>
              <w:rPr>
                <w:sz w:val="22"/>
                <w:szCs w:val="22"/>
              </w:rPr>
            </w:pPr>
            <w:r w:rsidRPr="0023367F">
              <w:rPr>
                <w:sz w:val="22"/>
                <w:szCs w:val="22"/>
              </w:rPr>
              <w:t>40</w:t>
            </w:r>
            <w:r w:rsidRPr="00E240BC">
              <w:rPr>
                <w:w w:val="50"/>
                <w:sz w:val="22"/>
                <w:szCs w:val="22"/>
              </w:rPr>
              <w:t> </w:t>
            </w:r>
            <w:r w:rsidRPr="00E240BC">
              <w:rPr>
                <w:sz w:val="22"/>
                <w:szCs w:val="22"/>
              </w:rPr>
              <w:t>% of the contract value</w:t>
            </w:r>
          </w:p>
        </w:tc>
      </w:tr>
      <w:tr w:rsidR="00E240BC" w:rsidRPr="00E240BC" w14:paraId="6D54AF4B" w14:textId="77777777" w:rsidTr="0023367F">
        <w:trPr>
          <w:cantSplit/>
          <w:trHeight w:val="814"/>
        </w:trPr>
        <w:tc>
          <w:tcPr>
            <w:tcW w:w="1521" w:type="dxa"/>
            <w:tcBorders>
              <w:bottom w:val="nil"/>
            </w:tcBorders>
          </w:tcPr>
          <w:p w14:paraId="20BBC216" w14:textId="48DAE78F" w:rsidR="00E240BC" w:rsidRPr="00E240BC" w:rsidRDefault="00E240BC" w:rsidP="00E240BC">
            <w:pPr>
              <w:spacing w:before="40" w:after="40"/>
              <w:jc w:val="center"/>
              <w:rPr>
                <w:b/>
                <w:sz w:val="22"/>
                <w:szCs w:val="22"/>
              </w:rPr>
            </w:pPr>
            <w:r>
              <w:rPr>
                <w:b/>
                <w:sz w:val="22"/>
                <w:szCs w:val="22"/>
              </w:rPr>
              <w:t xml:space="preserve">December 2027 </w:t>
            </w:r>
          </w:p>
        </w:tc>
        <w:tc>
          <w:tcPr>
            <w:tcW w:w="4536" w:type="dxa"/>
            <w:tcBorders>
              <w:bottom w:val="nil"/>
            </w:tcBorders>
          </w:tcPr>
          <w:p w14:paraId="5E1198A3" w14:textId="77777777" w:rsidR="00E240BC" w:rsidRPr="00E240BC" w:rsidRDefault="00E240BC" w:rsidP="00E240BC">
            <w:pPr>
              <w:spacing w:before="40" w:after="40"/>
              <w:rPr>
                <w:b/>
                <w:sz w:val="22"/>
                <w:szCs w:val="22"/>
              </w:rPr>
            </w:pPr>
            <w:r w:rsidRPr="00E240BC">
              <w:rPr>
                <w:b/>
                <w:sz w:val="22"/>
                <w:szCs w:val="22"/>
              </w:rPr>
              <w:t>Balance</w:t>
            </w:r>
          </w:p>
        </w:tc>
        <w:tc>
          <w:tcPr>
            <w:tcW w:w="2552" w:type="dxa"/>
            <w:tcBorders>
              <w:bottom w:val="nil"/>
            </w:tcBorders>
          </w:tcPr>
          <w:p w14:paraId="64198C77" w14:textId="48BD3A37" w:rsidR="00E240BC" w:rsidRPr="00E240BC" w:rsidRDefault="00E240BC" w:rsidP="00E240BC">
            <w:pPr>
              <w:spacing w:after="0"/>
              <w:jc w:val="center"/>
              <w:rPr>
                <w:sz w:val="22"/>
                <w:szCs w:val="22"/>
              </w:rPr>
            </w:pPr>
            <w:r w:rsidRPr="00E240BC">
              <w:rPr>
                <w:sz w:val="22"/>
                <w:szCs w:val="22"/>
              </w:rPr>
              <w:t xml:space="preserve"> </w:t>
            </w:r>
            <w:r w:rsidRPr="0023367F">
              <w:rPr>
                <w:sz w:val="22"/>
                <w:szCs w:val="22"/>
              </w:rPr>
              <w:t>2</w:t>
            </w:r>
            <w:r w:rsidRPr="00E240BC">
              <w:rPr>
                <w:sz w:val="22"/>
                <w:szCs w:val="22"/>
              </w:rPr>
              <w:t>0</w:t>
            </w:r>
            <w:r w:rsidRPr="00E240BC">
              <w:rPr>
                <w:w w:val="50"/>
                <w:sz w:val="22"/>
                <w:szCs w:val="22"/>
              </w:rPr>
              <w:t> </w:t>
            </w:r>
            <w:r w:rsidRPr="00E240BC">
              <w:rPr>
                <w:sz w:val="22"/>
                <w:szCs w:val="22"/>
              </w:rPr>
              <w:t>% of the contract value</w:t>
            </w:r>
          </w:p>
          <w:p w14:paraId="432E969C" w14:textId="77777777" w:rsidR="00E240BC" w:rsidRPr="00E240BC" w:rsidRDefault="00E240BC" w:rsidP="00E240BC">
            <w:pPr>
              <w:spacing w:after="0"/>
              <w:jc w:val="center"/>
              <w:rPr>
                <w:sz w:val="22"/>
                <w:szCs w:val="22"/>
              </w:rPr>
            </w:pPr>
          </w:p>
        </w:tc>
      </w:tr>
      <w:tr w:rsidR="00E240BC" w:rsidRPr="00E240BC" w14:paraId="519A964D" w14:textId="77777777" w:rsidTr="0023367F">
        <w:trPr>
          <w:cantSplit/>
          <w:trHeight w:val="373"/>
        </w:trPr>
        <w:tc>
          <w:tcPr>
            <w:tcW w:w="1521" w:type="dxa"/>
            <w:tcBorders>
              <w:top w:val="dotted" w:sz="4" w:space="0" w:color="auto"/>
              <w:bottom w:val="single" w:sz="4" w:space="0" w:color="auto"/>
            </w:tcBorders>
            <w:shd w:val="pct10" w:color="auto" w:fill="FFFFFF"/>
          </w:tcPr>
          <w:p w14:paraId="64D5BB2B" w14:textId="77777777" w:rsidR="00E240BC" w:rsidRPr="00E240BC" w:rsidRDefault="00E240BC" w:rsidP="00E240BC">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767A4240" w14:textId="77777777" w:rsidR="00E240BC" w:rsidRPr="00E240BC" w:rsidRDefault="00E240BC" w:rsidP="00E240BC">
            <w:pPr>
              <w:spacing w:before="40" w:after="40"/>
              <w:rPr>
                <w:b/>
                <w:sz w:val="22"/>
                <w:szCs w:val="22"/>
              </w:rPr>
            </w:pPr>
            <w:r w:rsidRPr="00E240BC">
              <w:rPr>
                <w:b/>
                <w:sz w:val="22"/>
                <w:szCs w:val="22"/>
              </w:rPr>
              <w:t>Total</w:t>
            </w:r>
          </w:p>
        </w:tc>
        <w:tc>
          <w:tcPr>
            <w:tcW w:w="2552" w:type="dxa"/>
            <w:tcBorders>
              <w:top w:val="dotted" w:sz="4" w:space="0" w:color="auto"/>
              <w:bottom w:val="single" w:sz="4" w:space="0" w:color="auto"/>
            </w:tcBorders>
            <w:shd w:val="pct10" w:color="auto" w:fill="FFFFFF"/>
          </w:tcPr>
          <w:p w14:paraId="4B4C8517" w14:textId="1BA6BD28" w:rsidR="00E240BC" w:rsidRPr="00E240BC" w:rsidRDefault="00E240BC" w:rsidP="00E240BC">
            <w:pPr>
              <w:spacing w:after="0"/>
              <w:jc w:val="center"/>
              <w:rPr>
                <w:b/>
                <w:sz w:val="22"/>
                <w:szCs w:val="22"/>
              </w:rPr>
            </w:pPr>
            <w:r w:rsidRPr="00E240BC">
              <w:rPr>
                <w:b/>
                <w:sz w:val="22"/>
                <w:szCs w:val="22"/>
              </w:rPr>
              <w:t>15000</w:t>
            </w:r>
            <w:r>
              <w:rPr>
                <w:b/>
                <w:sz w:val="22"/>
                <w:szCs w:val="22"/>
              </w:rPr>
              <w:t xml:space="preserve"> Eur</w:t>
            </w:r>
          </w:p>
        </w:tc>
      </w:tr>
    </w:tbl>
    <w:p w14:paraId="4DE423B7" w14:textId="77777777" w:rsidR="00E240BC" w:rsidRDefault="00E240BC" w:rsidP="00B252CD">
      <w:pPr>
        <w:autoSpaceDE w:val="0"/>
        <w:autoSpaceDN w:val="0"/>
        <w:adjustRightInd w:val="0"/>
        <w:spacing w:before="240" w:after="200"/>
        <w:rPr>
          <w:sz w:val="22"/>
          <w:szCs w:val="22"/>
        </w:rPr>
      </w:pPr>
    </w:p>
    <w:p w14:paraId="1E14DAC3" w14:textId="77777777" w:rsidR="00E240BC" w:rsidRDefault="00E240BC" w:rsidP="00B252CD">
      <w:pPr>
        <w:autoSpaceDE w:val="0"/>
        <w:autoSpaceDN w:val="0"/>
        <w:adjustRightInd w:val="0"/>
        <w:spacing w:before="240" w:after="200"/>
        <w:rPr>
          <w:sz w:val="22"/>
          <w:szCs w:val="22"/>
        </w:rPr>
      </w:pPr>
    </w:p>
    <w:p w14:paraId="3C7EA788" w14:textId="77777777" w:rsidR="00EB51AD" w:rsidRPr="00EB51AD" w:rsidRDefault="00EB51AD" w:rsidP="00EB51AD">
      <w:pPr>
        <w:spacing w:before="100" w:beforeAutospacing="1" w:after="100" w:afterAutospacing="1"/>
        <w:rPr>
          <w:szCs w:val="24"/>
        </w:rPr>
      </w:pPr>
      <w:r w:rsidRPr="00EB51AD">
        <w:rPr>
          <w:sz w:val="22"/>
          <w:szCs w:val="22"/>
        </w:rPr>
        <w:t>The first pre-financing payment will be made after the expert prepares and submits a detailed work plan covering all project activities, timelines, responsibilities, and monitoring methods, in full compliance with PRAG regulations. The work plan should include:</w:t>
      </w:r>
      <w:bookmarkStart w:id="3" w:name="_GoBack"/>
      <w:bookmarkEnd w:id="3"/>
    </w:p>
    <w:p w14:paraId="662A3A73" w14:textId="35453E95" w:rsidR="00706F1F" w:rsidRPr="00706F1F" w:rsidRDefault="00706F1F" w:rsidP="00EB51AD">
      <w:pPr>
        <w:numPr>
          <w:ilvl w:val="0"/>
          <w:numId w:val="34"/>
        </w:numPr>
        <w:spacing w:before="100" w:beforeAutospacing="1" w:after="100" w:afterAutospacing="1"/>
        <w:rPr>
          <w:szCs w:val="24"/>
        </w:rPr>
      </w:pPr>
      <w:r w:rsidRPr="00706F1F">
        <w:rPr>
          <w:szCs w:val="24"/>
        </w:rPr>
        <w:t xml:space="preserve">Preparation and Submission of the Project Partner Reports – Deadlines, content, and format according to PRAG requirements; </w:t>
      </w:r>
    </w:p>
    <w:p w14:paraId="7D11339A" w14:textId="77777777" w:rsidR="00706F1F" w:rsidRPr="00706F1F" w:rsidRDefault="00706F1F" w:rsidP="00706F1F">
      <w:pPr>
        <w:numPr>
          <w:ilvl w:val="0"/>
          <w:numId w:val="34"/>
        </w:numPr>
        <w:spacing w:before="100" w:beforeAutospacing="1" w:after="100" w:afterAutospacing="1"/>
        <w:rPr>
          <w:szCs w:val="24"/>
        </w:rPr>
      </w:pPr>
      <w:r w:rsidRPr="00706F1F">
        <w:rPr>
          <w:szCs w:val="24"/>
        </w:rPr>
        <w:t xml:space="preserve">Project Kick-off Meeting – Organization of the meeting, participants, and agenda, ensuring alignment with project objectives and partner responsibilities; </w:t>
      </w:r>
    </w:p>
    <w:p w14:paraId="17F59562" w14:textId="77777777" w:rsidR="00706F1F" w:rsidRPr="00706F1F" w:rsidRDefault="00706F1F" w:rsidP="00706F1F">
      <w:pPr>
        <w:numPr>
          <w:ilvl w:val="0"/>
          <w:numId w:val="34"/>
        </w:numPr>
        <w:spacing w:before="100" w:beforeAutospacing="1" w:after="100" w:afterAutospacing="1"/>
        <w:rPr>
          <w:szCs w:val="24"/>
        </w:rPr>
      </w:pPr>
      <w:r w:rsidRPr="00706F1F">
        <w:rPr>
          <w:szCs w:val="24"/>
        </w:rPr>
        <w:t xml:space="preserve">Workshops and Training Sessions – Topics, trainers, schedules, and participant management to build capacity and facilitate knowledge transfer; </w:t>
      </w:r>
    </w:p>
    <w:p w14:paraId="43707C96" w14:textId="77777777" w:rsidR="00706F1F" w:rsidRPr="00706F1F" w:rsidRDefault="00706F1F" w:rsidP="00706F1F">
      <w:pPr>
        <w:numPr>
          <w:ilvl w:val="0"/>
          <w:numId w:val="34"/>
        </w:numPr>
        <w:spacing w:before="100" w:beforeAutospacing="1" w:after="100" w:afterAutospacing="1"/>
        <w:rPr>
          <w:szCs w:val="24"/>
        </w:rPr>
      </w:pPr>
      <w:r w:rsidRPr="00706F1F">
        <w:rPr>
          <w:szCs w:val="24"/>
        </w:rPr>
        <w:t>Final Project Event – Planning of the event, invitations to stakeholders, documentation, and dissemination of results.</w:t>
      </w:r>
    </w:p>
    <w:p w14:paraId="4D6851DF" w14:textId="77777777" w:rsidR="00706F1F" w:rsidRPr="00706F1F" w:rsidRDefault="00706F1F" w:rsidP="00706F1F">
      <w:pPr>
        <w:numPr>
          <w:ilvl w:val="0"/>
          <w:numId w:val="34"/>
        </w:numPr>
        <w:spacing w:before="100" w:beforeAutospacing="1" w:after="100" w:afterAutospacing="1"/>
        <w:rPr>
          <w:szCs w:val="24"/>
        </w:rPr>
      </w:pPr>
      <w:r w:rsidRPr="00706F1F">
        <w:rPr>
          <w:szCs w:val="24"/>
        </w:rPr>
        <w:t>Participation of Local Stakeholders and Project Partners – Methods and activities for active engagement and feedback collection.</w:t>
      </w:r>
    </w:p>
    <w:p w14:paraId="3619A783" w14:textId="77777777" w:rsidR="00706F1F" w:rsidRPr="00706F1F" w:rsidRDefault="00706F1F" w:rsidP="00706F1F">
      <w:pPr>
        <w:numPr>
          <w:ilvl w:val="0"/>
          <w:numId w:val="34"/>
        </w:numPr>
        <w:spacing w:before="100" w:beforeAutospacing="1" w:after="100" w:afterAutospacing="1"/>
        <w:rPr>
          <w:szCs w:val="24"/>
        </w:rPr>
      </w:pPr>
      <w:r w:rsidRPr="00706F1F">
        <w:rPr>
          <w:szCs w:val="24"/>
        </w:rPr>
        <w:t>Identification of the Target Audience – Definition of participants and beneficiary groups for project activities.</w:t>
      </w:r>
    </w:p>
    <w:p w14:paraId="113C1BB8" w14:textId="77777777" w:rsidR="00706F1F" w:rsidRPr="00706F1F" w:rsidRDefault="00706F1F" w:rsidP="00706F1F">
      <w:pPr>
        <w:numPr>
          <w:ilvl w:val="0"/>
          <w:numId w:val="34"/>
        </w:numPr>
        <w:spacing w:before="100" w:beforeAutospacing="1" w:after="100" w:afterAutospacing="1"/>
        <w:rPr>
          <w:szCs w:val="24"/>
        </w:rPr>
      </w:pPr>
      <w:r w:rsidRPr="00706F1F">
        <w:rPr>
          <w:szCs w:val="24"/>
        </w:rPr>
        <w:t>Budget Preparation – Forecasting expenses and potential income, ensuring resource management in compliance with PRAG.</w:t>
      </w:r>
    </w:p>
    <w:p w14:paraId="4A000E20" w14:textId="77777777" w:rsidR="00706F1F" w:rsidRPr="00706F1F" w:rsidRDefault="00706F1F" w:rsidP="00706F1F">
      <w:pPr>
        <w:numPr>
          <w:ilvl w:val="0"/>
          <w:numId w:val="34"/>
        </w:numPr>
        <w:spacing w:before="100" w:beforeAutospacing="1" w:after="100" w:afterAutospacing="1"/>
        <w:rPr>
          <w:szCs w:val="24"/>
        </w:rPr>
      </w:pPr>
      <w:r w:rsidRPr="00706F1F">
        <w:rPr>
          <w:szCs w:val="24"/>
        </w:rPr>
        <w:t>Monitoring and Follow-up Procedures – Timelines and steps for verifying activities, documenting expenditures, reporting, and ensuring compliance with PRAG.</w:t>
      </w:r>
    </w:p>
    <w:bookmarkEnd w:id="2"/>
    <w:p w14:paraId="59F90915" w14:textId="4E8AEED3" w:rsidR="00E72E6D" w:rsidRDefault="00406896" w:rsidP="00406896">
      <w:pPr>
        <w:spacing w:after="0"/>
        <w:ind w:left="567" w:hanging="567"/>
        <w:rPr>
          <w:sz w:val="22"/>
          <w:szCs w:val="22"/>
        </w:rPr>
      </w:pPr>
      <w:r>
        <w:rPr>
          <w:sz w:val="22"/>
          <w:szCs w:val="22"/>
        </w:rPr>
        <w:t xml:space="preserve">29.2 </w:t>
      </w:r>
      <w:r w:rsidR="00F85EAD" w:rsidRPr="00406896">
        <w:rPr>
          <w:sz w:val="22"/>
          <w:szCs w:val="22"/>
        </w:rPr>
        <w:t xml:space="preserve">By derogation, the payments to the </w:t>
      </w:r>
      <w:r w:rsidR="00C559EF" w:rsidRPr="00406896">
        <w:rPr>
          <w:sz w:val="22"/>
          <w:szCs w:val="22"/>
        </w:rPr>
        <w:t>c</w:t>
      </w:r>
      <w:r w:rsidR="00F85EAD" w:rsidRPr="00406896">
        <w:rPr>
          <w:sz w:val="22"/>
          <w:szCs w:val="22"/>
        </w:rPr>
        <w:t>ontractor of the amounts due under interim and final payments shall be made within</w:t>
      </w:r>
      <w:r w:rsidR="00212B1D" w:rsidRPr="00406896">
        <w:rPr>
          <w:sz w:val="22"/>
          <w:szCs w:val="22"/>
        </w:rPr>
        <w:t> </w:t>
      </w:r>
      <w:r w:rsidR="00F85EAD" w:rsidRPr="00406896">
        <w:rPr>
          <w:sz w:val="22"/>
          <w:szCs w:val="22"/>
        </w:rPr>
        <w:t xml:space="preserve">90 days after receipt by the </w:t>
      </w:r>
      <w:r w:rsidR="00C559EF" w:rsidRPr="00406896">
        <w:rPr>
          <w:sz w:val="22"/>
          <w:szCs w:val="22"/>
        </w:rPr>
        <w:t>c</w:t>
      </w:r>
      <w:r w:rsidR="00F85EAD" w:rsidRPr="00406896">
        <w:rPr>
          <w:sz w:val="22"/>
          <w:szCs w:val="22"/>
        </w:rPr>
        <w:t xml:space="preserve">ontracting </w:t>
      </w:r>
      <w:r w:rsidR="00C559EF" w:rsidRPr="00406896">
        <w:rPr>
          <w:sz w:val="22"/>
          <w:szCs w:val="22"/>
        </w:rPr>
        <w:t>a</w:t>
      </w:r>
      <w:r w:rsidR="00F85EAD" w:rsidRPr="00406896">
        <w:rPr>
          <w:sz w:val="22"/>
          <w:szCs w:val="22"/>
        </w:rPr>
        <w:t>uthority of an invoice and of the reports</w:t>
      </w:r>
      <w:r w:rsidR="00B252A4" w:rsidRPr="00406896">
        <w:rPr>
          <w:sz w:val="22"/>
          <w:szCs w:val="22"/>
        </w:rPr>
        <w:t>, subject to approval of those reports</w:t>
      </w:r>
      <w:r w:rsidR="00F85EAD" w:rsidRPr="00406896">
        <w:rPr>
          <w:sz w:val="22"/>
          <w:szCs w:val="22"/>
        </w:rPr>
        <w:t xml:space="preserve"> </w:t>
      </w:r>
      <w:r w:rsidR="00B252A4" w:rsidRPr="00406896">
        <w:rPr>
          <w:sz w:val="22"/>
          <w:szCs w:val="22"/>
        </w:rPr>
        <w:t xml:space="preserve">in accordance with Article 27 of the </w:t>
      </w:r>
      <w:r w:rsidR="004E2AD3" w:rsidRPr="00406896">
        <w:rPr>
          <w:sz w:val="22"/>
          <w:szCs w:val="22"/>
        </w:rPr>
        <w:t>g</w:t>
      </w:r>
      <w:r w:rsidR="00B252A4" w:rsidRPr="00406896">
        <w:rPr>
          <w:sz w:val="22"/>
          <w:szCs w:val="22"/>
        </w:rPr>
        <w:t xml:space="preserve">eneral </w:t>
      </w:r>
      <w:r w:rsidR="004E2AD3" w:rsidRPr="00406896">
        <w:rPr>
          <w:sz w:val="22"/>
          <w:szCs w:val="22"/>
        </w:rPr>
        <w:t>c</w:t>
      </w:r>
      <w:r w:rsidR="00B252A4" w:rsidRPr="00406896">
        <w:rPr>
          <w:sz w:val="22"/>
          <w:szCs w:val="22"/>
        </w:rPr>
        <w:t>onditions</w:t>
      </w:r>
      <w:r>
        <w:rPr>
          <w:sz w:val="22"/>
          <w:szCs w:val="22"/>
        </w:rPr>
        <w:t>.</w:t>
      </w:r>
    </w:p>
    <w:p w14:paraId="42F8FA1B" w14:textId="77777777" w:rsidR="00406896" w:rsidRPr="00406896" w:rsidRDefault="00406896" w:rsidP="00406896">
      <w:pPr>
        <w:spacing w:after="0"/>
        <w:ind w:left="567" w:hanging="567"/>
        <w:rPr>
          <w:sz w:val="22"/>
          <w:szCs w:val="22"/>
        </w:rPr>
      </w:pPr>
    </w:p>
    <w:p w14:paraId="479522BC" w14:textId="06AFE6DE" w:rsidR="00640C03" w:rsidRDefault="00A1628E" w:rsidP="00406896">
      <w:pPr>
        <w:spacing w:after="0"/>
        <w:ind w:left="567" w:hanging="567"/>
        <w:rPr>
          <w:sz w:val="22"/>
          <w:szCs w:val="22"/>
        </w:rPr>
      </w:pPr>
      <w:r w:rsidRPr="0036136C">
        <w:rPr>
          <w:sz w:val="22"/>
          <w:szCs w:val="22"/>
        </w:rPr>
        <w:t>29.3</w:t>
      </w:r>
      <w:r w:rsidRPr="0036136C">
        <w:rPr>
          <w:sz w:val="22"/>
          <w:szCs w:val="22"/>
        </w:rPr>
        <w:tab/>
      </w:r>
      <w:r w:rsidR="00057077" w:rsidRPr="000727A5">
        <w:rPr>
          <w:sz w:val="22"/>
          <w:szCs w:val="22"/>
          <w:highlight w:val="lightGray"/>
        </w:rPr>
        <w:t xml:space="preserve">By derogation from Article 29.3 of the </w:t>
      </w:r>
      <w:r w:rsidR="004E2AD3" w:rsidRPr="000727A5">
        <w:rPr>
          <w:sz w:val="22"/>
          <w:szCs w:val="22"/>
          <w:highlight w:val="lightGray"/>
        </w:rPr>
        <w:t>g</w:t>
      </w:r>
      <w:r w:rsidR="00057077" w:rsidRPr="000727A5">
        <w:rPr>
          <w:sz w:val="22"/>
          <w:szCs w:val="22"/>
          <w:highlight w:val="lightGray"/>
        </w:rPr>
        <w:t xml:space="preserve">eneral </w:t>
      </w:r>
      <w:r w:rsidR="004E2AD3" w:rsidRPr="000727A5">
        <w:rPr>
          <w:sz w:val="22"/>
          <w:szCs w:val="22"/>
          <w:highlight w:val="lightGray"/>
        </w:rPr>
        <w:t>c</w:t>
      </w:r>
      <w:r w:rsidR="00057077" w:rsidRPr="000727A5">
        <w:rPr>
          <w:sz w:val="22"/>
          <w:szCs w:val="22"/>
          <w:highlight w:val="lightGray"/>
        </w:rPr>
        <w:t xml:space="preserve">onditions, once the deadline </w:t>
      </w:r>
      <w:r w:rsidR="002250E9" w:rsidRPr="000727A5">
        <w:rPr>
          <w:sz w:val="22"/>
          <w:szCs w:val="22"/>
          <w:highlight w:val="lightGray"/>
        </w:rPr>
        <w:t>set</w:t>
      </w:r>
      <w:r w:rsidR="009C55DD" w:rsidRPr="000727A5">
        <w:rPr>
          <w:sz w:val="22"/>
          <w:szCs w:val="22"/>
          <w:highlight w:val="lightGray"/>
        </w:rPr>
        <w:t xml:space="preserve"> in Article 29.1 </w:t>
      </w:r>
      <w:r w:rsidR="00057077" w:rsidRPr="000727A5">
        <w:rPr>
          <w:sz w:val="22"/>
          <w:szCs w:val="22"/>
          <w:highlight w:val="lightGray"/>
        </w:rPr>
        <w:t xml:space="preserve">has expired, the </w:t>
      </w:r>
      <w:r w:rsidR="00C559EF" w:rsidRPr="000727A5">
        <w:rPr>
          <w:sz w:val="22"/>
          <w:szCs w:val="22"/>
          <w:highlight w:val="lightGray"/>
        </w:rPr>
        <w:t>c</w:t>
      </w:r>
      <w:r w:rsidR="00805B43" w:rsidRPr="000727A5">
        <w:rPr>
          <w:sz w:val="22"/>
          <w:szCs w:val="22"/>
          <w:highlight w:val="lightGray"/>
        </w:rPr>
        <w:t>ontractor</w:t>
      </w:r>
      <w:r w:rsidR="00A02D95" w:rsidRPr="000727A5">
        <w:rPr>
          <w:sz w:val="22"/>
          <w:szCs w:val="22"/>
          <w:highlight w:val="lightGray"/>
        </w:rPr>
        <w:t xml:space="preserve"> </w:t>
      </w:r>
      <w:r w:rsidR="00995D7A" w:rsidRPr="000727A5">
        <w:rPr>
          <w:sz w:val="22"/>
          <w:szCs w:val="22"/>
          <w:highlight w:val="lightGray"/>
        </w:rPr>
        <w:t>shall</w:t>
      </w:r>
      <w:r w:rsidR="002250E9" w:rsidRPr="000727A5">
        <w:rPr>
          <w:sz w:val="22"/>
          <w:szCs w:val="22"/>
          <w:highlight w:val="lightGray"/>
        </w:rPr>
        <w:t>,</w:t>
      </w:r>
      <w:r w:rsidR="00057077" w:rsidRPr="000727A5">
        <w:rPr>
          <w:sz w:val="22"/>
          <w:szCs w:val="22"/>
          <w:highlight w:val="lightGray"/>
        </w:rPr>
        <w:t xml:space="preserve"> </w:t>
      </w:r>
      <w:r w:rsidR="00850711" w:rsidRPr="000727A5">
        <w:rPr>
          <w:sz w:val="22"/>
          <w:szCs w:val="22"/>
          <w:highlight w:val="lightGray"/>
        </w:rPr>
        <w:t>upon demand</w:t>
      </w:r>
      <w:r w:rsidR="00A02D95" w:rsidRPr="000727A5">
        <w:rPr>
          <w:sz w:val="22"/>
          <w:szCs w:val="22"/>
          <w:highlight w:val="lightGray"/>
        </w:rPr>
        <w:t>,</w:t>
      </w:r>
      <w:r w:rsidR="00A02D95" w:rsidRPr="000727A5">
        <w:rPr>
          <w:highlight w:val="lightGray"/>
        </w:rPr>
        <w:t xml:space="preserve"> </w:t>
      </w:r>
      <w:r w:rsidR="00A02D95" w:rsidRPr="000727A5">
        <w:rPr>
          <w:sz w:val="22"/>
          <w:szCs w:val="22"/>
          <w:highlight w:val="lightGray"/>
        </w:rPr>
        <w:t xml:space="preserve">be entitled to late-payment interest at the rate and for the period mentioned in the </w:t>
      </w:r>
      <w:r w:rsidR="004E2AD3" w:rsidRPr="000727A5">
        <w:rPr>
          <w:sz w:val="22"/>
          <w:szCs w:val="22"/>
          <w:highlight w:val="lightGray"/>
        </w:rPr>
        <w:t>g</w:t>
      </w:r>
      <w:r w:rsidR="00A02D95" w:rsidRPr="000727A5">
        <w:rPr>
          <w:sz w:val="22"/>
          <w:szCs w:val="22"/>
          <w:highlight w:val="lightGray"/>
        </w:rPr>
        <w:t xml:space="preserve">eneral </w:t>
      </w:r>
      <w:r w:rsidR="004E2AD3" w:rsidRPr="000727A5">
        <w:rPr>
          <w:sz w:val="22"/>
          <w:szCs w:val="22"/>
          <w:highlight w:val="lightGray"/>
        </w:rPr>
        <w:t>c</w:t>
      </w:r>
      <w:r w:rsidR="00A02D95" w:rsidRPr="000727A5">
        <w:rPr>
          <w:sz w:val="22"/>
          <w:szCs w:val="22"/>
          <w:highlight w:val="lightGray"/>
        </w:rPr>
        <w:t>onditions</w:t>
      </w:r>
      <w:r w:rsidR="004D4E2C" w:rsidRPr="000727A5">
        <w:rPr>
          <w:sz w:val="22"/>
          <w:szCs w:val="22"/>
          <w:highlight w:val="lightGray"/>
        </w:rPr>
        <w:t>.</w:t>
      </w:r>
      <w:r w:rsidR="00BE5213" w:rsidRPr="000727A5">
        <w:rPr>
          <w:sz w:val="22"/>
          <w:szCs w:val="22"/>
          <w:highlight w:val="lightGray"/>
        </w:rPr>
        <w:t xml:space="preserve"> </w:t>
      </w:r>
      <w:r w:rsidR="00A02D95" w:rsidRPr="000727A5">
        <w:rPr>
          <w:sz w:val="22"/>
          <w:szCs w:val="22"/>
          <w:highlight w:val="lightGray"/>
        </w:rPr>
        <w:t>The demand must be submitted within two months of receiving late payment</w:t>
      </w:r>
      <w:r w:rsidR="00A02D95" w:rsidRPr="00A02D95">
        <w:rPr>
          <w:sz w:val="22"/>
          <w:szCs w:val="22"/>
        </w:rPr>
        <w:t>.]</w:t>
      </w:r>
    </w:p>
    <w:p w14:paraId="25388D52" w14:textId="77777777" w:rsidR="00406896" w:rsidRPr="0036136C" w:rsidRDefault="00406896" w:rsidP="00406896">
      <w:pPr>
        <w:spacing w:after="0"/>
        <w:ind w:left="567" w:hanging="567"/>
        <w:rPr>
          <w:sz w:val="22"/>
          <w:szCs w:val="22"/>
        </w:rPr>
      </w:pPr>
    </w:p>
    <w:p w14:paraId="3F625FFD" w14:textId="79FC0DAB" w:rsidR="00A1628E" w:rsidRPr="0036136C" w:rsidRDefault="00A1628E" w:rsidP="00201D65">
      <w:pPr>
        <w:widowControl w:val="0"/>
        <w:spacing w:after="120"/>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w:t>
      </w:r>
      <w:r w:rsidRPr="00594B13">
        <w:rPr>
          <w:sz w:val="22"/>
          <w:szCs w:val="22"/>
        </w:rPr>
        <w:t xml:space="preserve">in </w:t>
      </w:r>
      <w:r w:rsidR="00201D65" w:rsidRPr="00201D65">
        <w:rPr>
          <w:b/>
          <w:sz w:val="22"/>
          <w:szCs w:val="22"/>
        </w:rPr>
        <w:t>1</w:t>
      </w:r>
      <w:r w:rsidR="00406896" w:rsidRPr="00201D65">
        <w:rPr>
          <w:b/>
          <w:sz w:val="22"/>
          <w:szCs w:val="22"/>
        </w:rPr>
        <w:t>5</w:t>
      </w:r>
      <w:r w:rsidR="00201D65" w:rsidRPr="00201D65">
        <w:rPr>
          <w:b/>
          <w:sz w:val="22"/>
          <w:szCs w:val="22"/>
        </w:rPr>
        <w:t>0</w:t>
      </w:r>
      <w:r w:rsidR="00406896" w:rsidRPr="00201D65">
        <w:rPr>
          <w:b/>
          <w:sz w:val="22"/>
          <w:szCs w:val="22"/>
        </w:rPr>
        <w:t>00 eur</w:t>
      </w:r>
      <w:r w:rsidR="00406896" w:rsidRPr="00201D65">
        <w:rPr>
          <w:sz w:val="22"/>
          <w:szCs w:val="22"/>
        </w:rPr>
        <w:t xml:space="preserve">, </w:t>
      </w:r>
      <w:r w:rsidR="00201D65" w:rsidRPr="00201D65">
        <w:rPr>
          <w:b/>
          <w:sz w:val="22"/>
          <w:szCs w:val="22"/>
        </w:rPr>
        <w:t>1,457,550</w:t>
      </w:r>
      <w:r w:rsidR="00201D65" w:rsidRPr="00201D65">
        <w:rPr>
          <w:sz w:val="22"/>
          <w:szCs w:val="22"/>
        </w:rPr>
        <w:t xml:space="preserve"> </w:t>
      </w:r>
      <w:r w:rsidR="00406896" w:rsidRPr="00201D65">
        <w:rPr>
          <w:b/>
          <w:sz w:val="22"/>
          <w:szCs w:val="22"/>
        </w:rPr>
        <w:t>lekë</w:t>
      </w:r>
      <w:r w:rsidR="00406896" w:rsidRPr="00594B13">
        <w:rPr>
          <w:sz w:val="22"/>
          <w:szCs w:val="22"/>
        </w:rPr>
        <w:t xml:space="preserve"> </w:t>
      </w:r>
      <w:r w:rsidRPr="00594B13">
        <w:rPr>
          <w:sz w:val="22"/>
          <w:szCs w:val="22"/>
        </w:rPr>
        <w:t>in</w:t>
      </w:r>
      <w:r w:rsidRPr="0036136C">
        <w:rPr>
          <w:sz w:val="22"/>
          <w:szCs w:val="22"/>
        </w:rPr>
        <w:t xml:space="preserve">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r w:rsidRPr="0036136C">
        <w:rPr>
          <w:sz w:val="22"/>
          <w:szCs w:val="22"/>
        </w:rPr>
        <w:t xml:space="preserve"> </w:t>
      </w:r>
    </w:p>
    <w:p w14:paraId="479C0B93" w14:textId="77777777" w:rsidR="00A1628E" w:rsidRPr="00212B1D" w:rsidRDefault="00A1628E" w:rsidP="004443F8">
      <w:pPr>
        <w:keepNext/>
        <w:keepLines/>
        <w:tabs>
          <w:tab w:val="left" w:pos="1134"/>
        </w:tabs>
        <w:spacing w:before="240" w:after="120"/>
        <w:ind w:left="1134" w:hanging="1134"/>
        <w:rPr>
          <w:b/>
        </w:rPr>
      </w:pPr>
      <w:bookmarkStart w:id="4" w:name="_Hlk153289523"/>
      <w:r w:rsidRPr="00212B1D">
        <w:rPr>
          <w:b/>
        </w:rPr>
        <w:t>Article 30</w:t>
      </w:r>
      <w:r w:rsidRPr="00212B1D">
        <w:rPr>
          <w:b/>
        </w:rPr>
        <w:tab/>
        <w:t xml:space="preserve">Financial </w:t>
      </w:r>
      <w:r w:rsidR="004E2AD3">
        <w:rPr>
          <w:b/>
        </w:rPr>
        <w:t>g</w:t>
      </w:r>
      <w:r w:rsidRPr="00212B1D">
        <w:rPr>
          <w:b/>
        </w:rPr>
        <w:t>uarantee</w:t>
      </w:r>
    </w:p>
    <w:p w14:paraId="4746ABA1" w14:textId="24531A2A" w:rsidR="00E72E6D" w:rsidRDefault="00CB06F5" w:rsidP="00170B89">
      <w:pPr>
        <w:spacing w:after="120"/>
        <w:ind w:left="567" w:hanging="567"/>
        <w:rPr>
          <w:bCs/>
          <w:sz w:val="22"/>
          <w:szCs w:val="22"/>
        </w:rPr>
      </w:pPr>
      <w:r w:rsidRPr="0036136C">
        <w:rPr>
          <w:bCs/>
          <w:sz w:val="22"/>
          <w:szCs w:val="22"/>
        </w:rPr>
        <w:t>30.1</w:t>
      </w:r>
      <w:r w:rsidRPr="0036136C">
        <w:rPr>
          <w:bCs/>
          <w:sz w:val="22"/>
          <w:szCs w:val="22"/>
        </w:rPr>
        <w:tab/>
      </w:r>
      <w:r w:rsidR="00170B89">
        <w:rPr>
          <w:bCs/>
          <w:sz w:val="22"/>
          <w:szCs w:val="22"/>
        </w:rPr>
        <w:t>Not applicable</w:t>
      </w:r>
    </w:p>
    <w:bookmarkEnd w:id="4"/>
    <w:p w14:paraId="7D4BECF8" w14:textId="77777777"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14:paraId="662304AA" w14:textId="14AA0455" w:rsidR="004800E1" w:rsidRPr="00170B89" w:rsidRDefault="00344055" w:rsidP="00344055">
      <w:pPr>
        <w:spacing w:after="120"/>
        <w:ind w:left="567" w:hanging="567"/>
        <w:rPr>
          <w:sz w:val="22"/>
          <w:szCs w:val="22"/>
        </w:rPr>
      </w:pPr>
      <w:r w:rsidRPr="00170B89">
        <w:rPr>
          <w:sz w:val="22"/>
          <w:szCs w:val="22"/>
        </w:rPr>
        <w:t>31.3</w:t>
      </w:r>
      <w:r w:rsidRPr="00170B89">
        <w:rPr>
          <w:sz w:val="22"/>
          <w:szCs w:val="22"/>
        </w:rPr>
        <w:tab/>
      </w:r>
      <w:r w:rsidR="00CE5015">
        <w:t xml:space="preserve">The contractor (including each member of the group in case of consortium) has an outstanding debt to the Union: </w:t>
      </w:r>
      <w:r w:rsidR="00CE5015">
        <w:rPr>
          <w:rStyle w:val="Strong"/>
        </w:rPr>
        <w:t>any payment may be offset against outstanding debts of any consortium member.</w:t>
      </w:r>
    </w:p>
    <w:p w14:paraId="44F13189" w14:textId="77777777" w:rsidR="002A496E" w:rsidRPr="00212B1D" w:rsidRDefault="002A496E" w:rsidP="00B547BD">
      <w:pPr>
        <w:keepNext/>
        <w:keepLines/>
        <w:tabs>
          <w:tab w:val="left" w:pos="1134"/>
          <w:tab w:val="left" w:pos="6495"/>
        </w:tabs>
        <w:spacing w:before="240" w:after="120"/>
        <w:ind w:left="1134" w:hanging="1134"/>
        <w:rPr>
          <w:b/>
        </w:rPr>
      </w:pPr>
      <w:r w:rsidRPr="00226B14">
        <w:rPr>
          <w:b/>
        </w:rPr>
        <w:lastRenderedPageBreak/>
        <w:t>Article 40</w:t>
      </w:r>
      <w:r w:rsidRPr="00226B14">
        <w:rPr>
          <w:b/>
        </w:rPr>
        <w:tab/>
        <w:t>Settlement of disputes</w:t>
      </w:r>
    </w:p>
    <w:p w14:paraId="50FE1FFD" w14:textId="656AE659" w:rsidR="00CC3E96" w:rsidRPr="00632308" w:rsidRDefault="002A496E" w:rsidP="00632308">
      <w:pPr>
        <w:spacing w:after="120"/>
        <w:ind w:left="567" w:hanging="567"/>
      </w:pPr>
      <w:r w:rsidRPr="00632308">
        <w:t>40</w:t>
      </w:r>
      <w:r w:rsidR="00234418" w:rsidRPr="00632308">
        <w:t>.</w:t>
      </w:r>
      <w:r w:rsidRPr="00632308">
        <w:t>4</w:t>
      </w:r>
      <w:r w:rsidR="00A44DBA" w:rsidRPr="00632308">
        <w:tab/>
      </w:r>
      <w:r w:rsidR="00CC3E96" w:rsidRPr="00632308">
        <w:t xml:space="preserve">Any dispute arising out of or relating to this contract which cannot be settled otherwise shall be referred to the exclusive jurisdiction of the courts of </w:t>
      </w:r>
      <w:r w:rsidR="00632308" w:rsidRPr="00632308">
        <w:t>Albanian country</w:t>
      </w:r>
      <w:r w:rsidR="00CC3E96" w:rsidRPr="00632308">
        <w:t xml:space="preserve"> in accordance with its national legislation.</w:t>
      </w:r>
    </w:p>
    <w:p w14:paraId="6044E86F" w14:textId="5B1CC252" w:rsidR="00CE5015" w:rsidRDefault="00CE5015" w:rsidP="00440E53">
      <w:pPr>
        <w:keepNext/>
        <w:spacing w:after="120"/>
        <w:rPr>
          <w:sz w:val="22"/>
          <w:szCs w:val="22"/>
          <w:highlight w:val="yellow"/>
        </w:rPr>
      </w:pPr>
    </w:p>
    <w:p w14:paraId="2EDD5F9A" w14:textId="3D07689B" w:rsidR="004E00C9" w:rsidRPr="000727A5" w:rsidRDefault="00226B14" w:rsidP="00440E53">
      <w:pPr>
        <w:keepNext/>
        <w:spacing w:after="120"/>
        <w:rPr>
          <w:b/>
          <w:szCs w:val="24"/>
          <w:highlight w:val="lightGray"/>
        </w:rPr>
      </w:pPr>
      <w:r w:rsidRPr="000727A5">
        <w:rPr>
          <w:b/>
          <w:szCs w:val="24"/>
          <w:highlight w:val="lightGray"/>
        </w:rPr>
        <w:t>Article 40</w:t>
      </w:r>
      <w:r w:rsidRPr="000727A5">
        <w:rPr>
          <w:b/>
          <w:szCs w:val="24"/>
          <w:highlight w:val="lightGray"/>
        </w:rPr>
        <w:tab/>
        <w:t>Settlement of disputes and</w:t>
      </w:r>
      <w:r>
        <w:rPr>
          <w:b/>
          <w:szCs w:val="24"/>
        </w:rPr>
        <w:t xml:space="preserve"> </w:t>
      </w:r>
      <w:r w:rsidR="004E00C9" w:rsidRPr="000727A5">
        <w:rPr>
          <w:b/>
          <w:szCs w:val="24"/>
          <w:highlight w:val="lightGray"/>
        </w:rPr>
        <w:t>Article 41 Applicable law</w:t>
      </w:r>
    </w:p>
    <w:p w14:paraId="7DA96DEF" w14:textId="77777777" w:rsidR="00226B14" w:rsidRPr="000727A5" w:rsidRDefault="00226B14" w:rsidP="00440E53">
      <w:pPr>
        <w:keepNext/>
        <w:spacing w:after="120"/>
        <w:rPr>
          <w:sz w:val="22"/>
          <w:szCs w:val="22"/>
          <w:highlight w:val="lightGray"/>
        </w:rPr>
      </w:pPr>
      <w:r w:rsidRPr="000727A5">
        <w:rPr>
          <w:sz w:val="22"/>
          <w:szCs w:val="22"/>
          <w:highlight w:val="lightGray"/>
        </w:rPr>
        <w:t xml:space="preserve">Articles 40.3, 40.4 and 41.1 of the </w:t>
      </w:r>
      <w:r w:rsidR="004E2AD3" w:rsidRPr="000727A5">
        <w:rPr>
          <w:sz w:val="22"/>
          <w:szCs w:val="22"/>
          <w:highlight w:val="lightGray"/>
        </w:rPr>
        <w:t>g</w:t>
      </w:r>
      <w:r w:rsidRPr="000727A5">
        <w:rPr>
          <w:sz w:val="22"/>
          <w:szCs w:val="22"/>
          <w:highlight w:val="lightGray"/>
        </w:rPr>
        <w:t xml:space="preserve">eneral </w:t>
      </w:r>
      <w:r w:rsidR="004E2AD3" w:rsidRPr="000727A5">
        <w:rPr>
          <w:sz w:val="22"/>
          <w:szCs w:val="22"/>
          <w:highlight w:val="lightGray"/>
        </w:rPr>
        <w:t>c</w:t>
      </w:r>
      <w:r w:rsidRPr="000727A5">
        <w:rPr>
          <w:sz w:val="22"/>
          <w:szCs w:val="22"/>
          <w:highlight w:val="lightGray"/>
        </w:rPr>
        <w:t xml:space="preserve">onditions shall be replaced by the following: </w:t>
      </w:r>
    </w:p>
    <w:p w14:paraId="67EB659B" w14:textId="4FC2259C" w:rsidR="004E00C9" w:rsidRPr="004B7C2F" w:rsidRDefault="00226B14" w:rsidP="00440E53">
      <w:pPr>
        <w:spacing w:after="120"/>
        <w:rPr>
          <w:sz w:val="22"/>
          <w:szCs w:val="22"/>
          <w:highlight w:val="yellow"/>
        </w:rPr>
      </w:pPr>
      <w:r w:rsidRPr="000727A5">
        <w:rPr>
          <w:sz w:val="22"/>
          <w:szCs w:val="22"/>
          <w:highlight w:val="lightGray"/>
        </w:rPr>
        <w:t xml:space="preserve">In default of amicable settlement, the parties may refer the matter to arbitration in accordance with the Permanent Court of Arbitration Optional Rules for Arbitration Involving International Organisations and States in force at the date of conclusion of this </w:t>
      </w:r>
      <w:r w:rsidR="00D72E94" w:rsidRPr="000727A5">
        <w:rPr>
          <w:sz w:val="22"/>
          <w:szCs w:val="22"/>
          <w:highlight w:val="lightGray"/>
        </w:rPr>
        <w:t>a</w:t>
      </w:r>
      <w:r w:rsidRPr="000727A5">
        <w:rPr>
          <w:sz w:val="22"/>
          <w:szCs w:val="22"/>
          <w:highlight w:val="lightGray"/>
        </w:rPr>
        <w:t xml:space="preserve">greement. The appointing authority shall be the Secretary General of the Permanent Court of Arbitration following a written request submitted by either </w:t>
      </w:r>
      <w:r w:rsidR="00D72E94" w:rsidRPr="000727A5">
        <w:rPr>
          <w:sz w:val="22"/>
          <w:szCs w:val="22"/>
          <w:highlight w:val="lightGray"/>
        </w:rPr>
        <w:t>p</w:t>
      </w:r>
      <w:r w:rsidRPr="000727A5">
        <w:rPr>
          <w:sz w:val="22"/>
          <w:szCs w:val="22"/>
          <w:highlight w:val="lightGray"/>
        </w:rPr>
        <w:t xml:space="preserve">arty. The Arbitrator’s decision shall be binding on all </w:t>
      </w:r>
      <w:r w:rsidR="00D72E94" w:rsidRPr="000727A5">
        <w:rPr>
          <w:sz w:val="22"/>
          <w:szCs w:val="22"/>
          <w:highlight w:val="lightGray"/>
        </w:rPr>
        <w:t>p</w:t>
      </w:r>
      <w:r w:rsidRPr="000727A5">
        <w:rPr>
          <w:sz w:val="22"/>
          <w:szCs w:val="22"/>
          <w:highlight w:val="lightGray"/>
        </w:rPr>
        <w:t>arties and there shall be no appeal.</w:t>
      </w:r>
    </w:p>
    <w:p w14:paraId="0EF08FD3" w14:textId="67BDAE9D" w:rsidR="00A20EF8" w:rsidRPr="000727A5" w:rsidRDefault="00A20EF8" w:rsidP="00A20EF8">
      <w:pPr>
        <w:keepNext/>
        <w:keepLines/>
        <w:tabs>
          <w:tab w:val="left" w:pos="1134"/>
        </w:tabs>
        <w:spacing w:before="240" w:after="120"/>
        <w:ind w:left="1134" w:hanging="1134"/>
        <w:rPr>
          <w:b/>
          <w:szCs w:val="24"/>
          <w:highlight w:val="lightGray"/>
        </w:rPr>
      </w:pPr>
      <w:r w:rsidRPr="000727A5">
        <w:rPr>
          <w:b/>
          <w:szCs w:val="24"/>
          <w:highlight w:val="lightGray"/>
        </w:rPr>
        <w:t>Article 42</w:t>
      </w:r>
      <w:r w:rsidRPr="000727A5">
        <w:rPr>
          <w:b/>
          <w:szCs w:val="24"/>
          <w:highlight w:val="lightGray"/>
        </w:rPr>
        <w:tab/>
        <w:t>Data Protection</w:t>
      </w:r>
    </w:p>
    <w:p w14:paraId="24A030B2" w14:textId="62EB7F3A" w:rsidR="00CD682B" w:rsidRPr="00632308" w:rsidRDefault="00632308" w:rsidP="00632308">
      <w:pPr>
        <w:spacing w:before="100" w:beforeAutospacing="1" w:after="100" w:afterAutospacing="1"/>
        <w:ind w:left="-142"/>
        <w:rPr>
          <w:rStyle w:val="Hyperlink"/>
          <w:color w:val="auto"/>
          <w:szCs w:val="24"/>
          <w:u w:val="none"/>
        </w:rPr>
      </w:pPr>
      <w:r w:rsidRPr="00632308">
        <w:rPr>
          <w:rStyle w:val="Hyperlink"/>
          <w:color w:val="auto"/>
          <w:szCs w:val="24"/>
          <w:u w:val="none"/>
        </w:rPr>
        <w:t xml:space="preserve"> </w:t>
      </w:r>
      <w:r w:rsidR="00CD682B" w:rsidRPr="00632308">
        <w:rPr>
          <w:rStyle w:val="Hyperlink"/>
          <w:color w:val="auto"/>
          <w:szCs w:val="24"/>
          <w:u w:val="none"/>
        </w:rPr>
        <w:t>For indirect management insert the following</w:t>
      </w:r>
    </w:p>
    <w:p w14:paraId="65FD0D1E" w14:textId="77777777" w:rsidR="00632308" w:rsidRPr="00632308" w:rsidRDefault="00632308" w:rsidP="00632308">
      <w:pPr>
        <w:pStyle w:val="NormalWeb"/>
        <w:numPr>
          <w:ilvl w:val="0"/>
          <w:numId w:val="28"/>
        </w:numPr>
        <w:jc w:val="both"/>
      </w:pPr>
      <w:r w:rsidRPr="00632308">
        <w:t>The controller for the processing of personal data carried out within the European Commission is:</w:t>
      </w:r>
    </w:p>
    <w:p w14:paraId="37ED1629" w14:textId="5459D6A3" w:rsidR="00632308" w:rsidRPr="00632308" w:rsidRDefault="00632308" w:rsidP="00632308">
      <w:pPr>
        <w:pStyle w:val="NormalWeb"/>
        <w:ind w:left="720"/>
        <w:jc w:val="both"/>
      </w:pPr>
      <w:r w:rsidRPr="00632308">
        <w:rPr>
          <w:rStyle w:val="Strong"/>
        </w:rPr>
        <w:t>For DG INTPA: Head of Legal Affairs Unit, DG International Partnerships</w:t>
      </w:r>
    </w:p>
    <w:p w14:paraId="6B3E17C2" w14:textId="77777777" w:rsidR="00632308" w:rsidRPr="00215F58" w:rsidRDefault="00632308" w:rsidP="00632308">
      <w:pPr>
        <w:numPr>
          <w:ilvl w:val="0"/>
          <w:numId w:val="28"/>
        </w:numPr>
        <w:spacing w:before="120" w:after="0"/>
        <w:rPr>
          <w:sz w:val="22"/>
          <w:szCs w:val="22"/>
          <w:u w:val="single"/>
        </w:rPr>
      </w:pPr>
      <w:r w:rsidRPr="005C0DEE">
        <w:rPr>
          <w:sz w:val="22"/>
          <w:szCs w:val="22"/>
        </w:rPr>
        <w:t xml:space="preserve">the </w:t>
      </w:r>
      <w:r w:rsidRPr="005A1173">
        <w:rPr>
          <w:sz w:val="22"/>
          <w:szCs w:val="22"/>
        </w:rPr>
        <w:t>privacy statement</w:t>
      </w:r>
      <w:r w:rsidRPr="005C0DEE">
        <w:rPr>
          <w:sz w:val="22"/>
          <w:szCs w:val="22"/>
        </w:rPr>
        <w:t xml:space="preserve"> is available at</w:t>
      </w:r>
      <w:r>
        <w:rPr>
          <w:sz w:val="22"/>
          <w:szCs w:val="22"/>
        </w:rPr>
        <w:t>:</w:t>
      </w:r>
    </w:p>
    <w:p w14:paraId="4822569A" w14:textId="77777777" w:rsidR="00632308" w:rsidRPr="005C0DEE" w:rsidRDefault="000727A5" w:rsidP="00632308">
      <w:pPr>
        <w:spacing w:after="360"/>
        <w:ind w:left="851"/>
        <w:rPr>
          <w:color w:val="0563C1"/>
          <w:sz w:val="22"/>
          <w:szCs w:val="22"/>
          <w:u w:val="single"/>
        </w:rPr>
      </w:pPr>
      <w:hyperlink r:id="rId10" w:anchor="Annexes-AnnexesA(Ch.2):General" w:history="1">
        <w:r w:rsidR="00632308" w:rsidRPr="00433C9F">
          <w:rPr>
            <w:rStyle w:val="Hyperlink"/>
            <w:sz w:val="22"/>
            <w:szCs w:val="22"/>
          </w:rPr>
          <w:t>https://wikis.ec.europa.eu/display/ExactExternalWiki/Annexes#Annexes-AnnexesA(Ch.2):General</w:t>
        </w:r>
      </w:hyperlink>
    </w:p>
    <w:p w14:paraId="1C4D6AD2" w14:textId="77777777" w:rsidR="00632308" w:rsidRDefault="00632308" w:rsidP="00632308">
      <w:pPr>
        <w:pStyle w:val="NormalWeb"/>
        <w:numPr>
          <w:ilvl w:val="0"/>
          <w:numId w:val="28"/>
        </w:numPr>
      </w:pPr>
      <w:r>
        <w:t xml:space="preserve">Personal data processing follows </w:t>
      </w:r>
      <w:r>
        <w:rPr>
          <w:rStyle w:val="Strong"/>
        </w:rPr>
        <w:t>Regulation (EU) 2018/1725</w:t>
      </w:r>
      <w:r>
        <w:t xml:space="preserve"> and national legislation of the contracting authority.</w:t>
      </w:r>
    </w:p>
    <w:p w14:paraId="147D0CA5" w14:textId="1AD44E7C" w:rsidR="00CE2938" w:rsidRPr="000727A5" w:rsidRDefault="00632308" w:rsidP="00CE2938">
      <w:pPr>
        <w:rPr>
          <w:sz w:val="22"/>
          <w:szCs w:val="22"/>
          <w:highlight w:val="lightGray"/>
        </w:rPr>
      </w:pPr>
      <w:r w:rsidRPr="000727A5">
        <w:rPr>
          <w:sz w:val="22"/>
          <w:szCs w:val="22"/>
          <w:highlight w:val="lightGray"/>
        </w:rPr>
        <w:t xml:space="preserve">1. </w:t>
      </w:r>
      <w:r w:rsidR="00CE2938" w:rsidRPr="000727A5">
        <w:rPr>
          <w:sz w:val="22"/>
          <w:szCs w:val="22"/>
          <w:highlight w:val="lightGray"/>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C5AD602" w14:textId="6F21BA0E" w:rsidR="00CE2938" w:rsidRPr="005C0DEE" w:rsidRDefault="00CE2938" w:rsidP="00CE2938">
      <w:pPr>
        <w:rPr>
          <w:sz w:val="22"/>
          <w:szCs w:val="22"/>
          <w:u w:val="single"/>
        </w:rPr>
      </w:pPr>
      <w:r w:rsidRPr="000727A5">
        <w:rPr>
          <w:sz w:val="22"/>
          <w:szCs w:val="22"/>
          <w:highlight w:val="lightGray"/>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w:t>
      </w:r>
      <w:r w:rsidRPr="000727A5">
        <w:rPr>
          <w:sz w:val="22"/>
          <w:szCs w:val="22"/>
          <w:highlight w:val="lightGray"/>
        </w:rPr>
        <w:lastRenderedPageBreak/>
        <w:t>such data, and repealing Regulation (EC) No 45/2001 and Decision No 1247/2002/EC</w:t>
      </w:r>
      <w:r w:rsidRPr="000727A5">
        <w:rPr>
          <w:rStyle w:val="FootnoteReference"/>
          <w:sz w:val="22"/>
          <w:szCs w:val="22"/>
          <w:highlight w:val="lightGray"/>
        </w:rPr>
        <w:footnoteReference w:id="1"/>
      </w:r>
      <w:r w:rsidRPr="000727A5">
        <w:rPr>
          <w:sz w:val="22"/>
          <w:szCs w:val="22"/>
          <w:highlight w:val="lightGray"/>
        </w:rPr>
        <w:t xml:space="preserve"> and as detailed in the specific privacy statement published at ePRAG.</w:t>
      </w:r>
      <w:r w:rsidRPr="005C0DEE">
        <w:rPr>
          <w:sz w:val="22"/>
          <w:szCs w:val="22"/>
          <w:u w:val="single"/>
        </w:rPr>
        <w:t>]</w:t>
      </w:r>
      <w:r w:rsidR="00FD7744">
        <w:rPr>
          <w:sz w:val="22"/>
          <w:szCs w:val="22"/>
          <w:u w:val="single"/>
        </w:rPr>
        <w:t>]</w:t>
      </w:r>
    </w:p>
    <w:p w14:paraId="5BDB2E84" w14:textId="77777777" w:rsidR="004701B3" w:rsidRPr="00C73B43" w:rsidRDefault="004701B3" w:rsidP="00215F58">
      <w:pPr>
        <w:spacing w:before="240" w:after="0"/>
        <w:ind w:left="1418" w:hanging="1418"/>
        <w:jc w:val="left"/>
        <w:rPr>
          <w:b/>
        </w:rPr>
      </w:pPr>
      <w:r w:rsidRPr="00C73B43">
        <w:rPr>
          <w:b/>
        </w:rPr>
        <w:t>Article 43</w:t>
      </w:r>
      <w:r w:rsidRPr="00C73B43">
        <w:rPr>
          <w:b/>
        </w:rPr>
        <w:tab/>
        <w:t>Further additional clauses</w:t>
      </w:r>
    </w:p>
    <w:p w14:paraId="58668B9D" w14:textId="77777777" w:rsidR="00FD7744" w:rsidRPr="000727A5" w:rsidRDefault="00FD7744" w:rsidP="00215F58">
      <w:pPr>
        <w:pStyle w:val="ListNumber"/>
        <w:numPr>
          <w:ilvl w:val="0"/>
          <w:numId w:val="0"/>
        </w:numPr>
        <w:spacing w:after="120"/>
        <w:rPr>
          <w:sz w:val="22"/>
          <w:szCs w:val="22"/>
          <w:highlight w:val="lightGray"/>
        </w:rPr>
      </w:pPr>
      <w:r w:rsidRPr="000727A5">
        <w:rPr>
          <w:sz w:val="22"/>
          <w:szCs w:val="22"/>
          <w:highlight w:val="lightGray"/>
        </w:rPr>
        <w:t>The following conditions to the contract shall apply:</w:t>
      </w:r>
    </w:p>
    <w:p w14:paraId="7106E33E" w14:textId="77777777" w:rsidR="00FD7744" w:rsidRDefault="00FD7744" w:rsidP="00215F58">
      <w:pPr>
        <w:pStyle w:val="ListNumber"/>
        <w:numPr>
          <w:ilvl w:val="0"/>
          <w:numId w:val="0"/>
        </w:numPr>
        <w:spacing w:after="120"/>
        <w:rPr>
          <w:sz w:val="22"/>
          <w:szCs w:val="22"/>
        </w:rPr>
      </w:pPr>
      <w:r w:rsidRPr="000727A5">
        <w:rPr>
          <w:sz w:val="22"/>
          <w:szCs w:val="22"/>
          <w:highlight w:val="lightGray"/>
        </w:rPr>
        <w:t>By derogation from Article ...</w:t>
      </w:r>
      <w:r w:rsidRPr="00355978">
        <w:rPr>
          <w:sz w:val="22"/>
          <w:szCs w:val="22"/>
        </w:rPr>
        <w:t xml:space="preserve"> ]</w:t>
      </w:r>
    </w:p>
    <w:p w14:paraId="11EA220C" w14:textId="77777777"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footerReference w:type="default" r:id="rId11"/>
      <w:footerReference w:type="first" r:id="rId12"/>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0BBD" w14:textId="77777777" w:rsidR="000727A5" w:rsidRDefault="000727A5">
      <w:r>
        <w:separator/>
      </w:r>
    </w:p>
  </w:endnote>
  <w:endnote w:type="continuationSeparator" w:id="0">
    <w:p w14:paraId="53E3AA8D" w14:textId="77777777" w:rsidR="000727A5" w:rsidRDefault="0007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C627" w14:textId="1C54BEC4"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EB51AD">
      <w:rPr>
        <w:rStyle w:val="PageNumber"/>
        <w:rFonts w:ascii="Times New Roman" w:hAnsi="Times New Roman"/>
        <w:noProof/>
        <w:sz w:val="18"/>
        <w:szCs w:val="18"/>
      </w:rPr>
      <w:t>4</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EB51AD">
      <w:rPr>
        <w:rStyle w:val="PageNumber"/>
        <w:rFonts w:ascii="Times New Roman" w:hAnsi="Times New Roman"/>
        <w:noProof/>
        <w:sz w:val="18"/>
        <w:szCs w:val="18"/>
      </w:rPr>
      <w:t>6</w:t>
    </w:r>
    <w:r w:rsidRPr="00953EE9">
      <w:rPr>
        <w:rStyle w:val="PageNumber"/>
        <w:rFonts w:ascii="Times New Roman" w:hAnsi="Times New Roman"/>
        <w:sz w:val="18"/>
        <w:szCs w:val="18"/>
      </w:rPr>
      <w:fldChar w:fldCharType="end"/>
    </w:r>
  </w:p>
  <w:p w14:paraId="518DBA28" w14:textId="7B471AEE" w:rsidR="00C951BF" w:rsidRPr="00953EE9" w:rsidRDefault="004124F6" w:rsidP="004124F6">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215F58">
      <w:rPr>
        <w:rStyle w:val="PageNumber"/>
        <w:rFonts w:ascii="Times New Roman" w:hAnsi="Times New Roman"/>
        <w:noProof/>
        <w:sz w:val="18"/>
        <w:szCs w:val="18"/>
      </w:rPr>
      <w:t>b8c2_specialconditions_en.docx</w:t>
    </w:r>
    <w:r>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0449" w14:textId="0890FED2"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0BA24268" w14:textId="77777777" w:rsidR="00C951BF" w:rsidRPr="00953EE9" w:rsidRDefault="00C951B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79CC" w14:textId="77777777" w:rsidR="000727A5" w:rsidRDefault="000727A5" w:rsidP="004B7C2F">
      <w:pPr>
        <w:spacing w:before="120" w:after="0"/>
      </w:pPr>
      <w:r>
        <w:separator/>
      </w:r>
    </w:p>
  </w:footnote>
  <w:footnote w:type="continuationSeparator" w:id="0">
    <w:p w14:paraId="5A5EB866" w14:textId="77777777" w:rsidR="000727A5" w:rsidRDefault="000727A5">
      <w:r>
        <w:continuationSeparator/>
      </w:r>
    </w:p>
  </w:footnote>
  <w:footnote w:id="1">
    <w:p w14:paraId="7DE4A5D2" w14:textId="77777777" w:rsidR="00C951BF" w:rsidRDefault="00C951BF" w:rsidP="004124F6">
      <w:pPr>
        <w:pStyle w:val="FootnoteText"/>
      </w:pPr>
      <w:r>
        <w:rPr>
          <w:rStyle w:val="FootnoteReference"/>
        </w:rPr>
        <w:footnoteRef/>
      </w:r>
      <w:r>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9DDC83BE"/>
    <w:lvl w:ilvl="0">
      <w:start w:val="1"/>
      <w:numFmt w:val="decimal"/>
      <w:lvlText w:val="%1."/>
      <w:lvlJc w:val="left"/>
      <w:pPr>
        <w:tabs>
          <w:tab w:val="num" w:pos="360"/>
        </w:tabs>
        <w:ind w:left="360" w:hanging="360"/>
      </w:pPr>
    </w:lvl>
  </w:abstractNum>
  <w:abstractNum w:abstractNumId="3"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080A08"/>
    <w:multiLevelType w:val="hybridMultilevel"/>
    <w:tmpl w:val="D0C0E3E4"/>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5" w15:restartNumberingAfterBreak="0">
    <w:nsid w:val="143F672F"/>
    <w:multiLevelType w:val="hybridMultilevel"/>
    <w:tmpl w:val="22DE05B0"/>
    <w:lvl w:ilvl="0" w:tplc="1B72384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3256DA1"/>
    <w:multiLevelType w:val="multilevel"/>
    <w:tmpl w:val="134A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15:restartNumberingAfterBreak="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4"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8"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21" w15:restartNumberingAfterBreak="0">
    <w:nsid w:val="53897603"/>
    <w:multiLevelType w:val="singleLevel"/>
    <w:tmpl w:val="53897603"/>
    <w:lvl w:ilvl="0">
      <w:start w:val="1"/>
      <w:numFmt w:val="bullet"/>
      <w:lvlText w:val=""/>
      <w:lvlJc w:val="left"/>
      <w:pPr>
        <w:tabs>
          <w:tab w:val="num" w:pos="420"/>
        </w:tabs>
        <w:ind w:left="420" w:hanging="420"/>
      </w:pPr>
      <w:rPr>
        <w:rFonts w:ascii="Wingdings" w:hAnsi="Wingdings" w:hint="default"/>
      </w:rPr>
    </w:lvl>
  </w:abstractNum>
  <w:abstractNum w:abstractNumId="22" w15:restartNumberingAfterBreak="0">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4A5FB5"/>
    <w:multiLevelType w:val="multilevel"/>
    <w:tmpl w:val="544A5FB5"/>
    <w:lvl w:ilvl="0">
      <w:start w:val="1"/>
      <w:numFmt w:val="lowerLetter"/>
      <w:lvlText w:val="%1."/>
      <w:lvlJc w:val="left"/>
      <w:pPr>
        <w:tabs>
          <w:tab w:val="num" w:pos="930"/>
        </w:tabs>
        <w:ind w:left="930" w:hanging="480"/>
      </w:pPr>
      <w:rPr>
        <w:rFonts w:hint="default"/>
      </w:rPr>
    </w:lvl>
    <w:lvl w:ilvl="1">
      <w:start w:val="1"/>
      <w:numFmt w:val="decimal"/>
      <w:lvlText w:val="%1.%2."/>
      <w:lvlJc w:val="left"/>
      <w:rPr>
        <w:rFonts w:cs="Times New Roman"/>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312"/>
        </w:tabs>
        <w:ind w:left="1312" w:hanging="720"/>
      </w:pPr>
    </w:lvl>
    <w:lvl w:ilvl="3">
      <w:start w:val="1"/>
      <w:numFmt w:val="decimal"/>
      <w:lvlText w:val="%1.%2.%3.%4."/>
      <w:lvlJc w:val="left"/>
      <w:pPr>
        <w:tabs>
          <w:tab w:val="num" w:pos="2370"/>
        </w:tabs>
        <w:ind w:left="2370" w:hanging="720"/>
      </w:pPr>
    </w:lvl>
    <w:lvl w:ilvl="4">
      <w:start w:val="1"/>
      <w:numFmt w:val="lowerLetter"/>
      <w:lvlText w:val="(%5)"/>
      <w:lvlJc w:val="left"/>
      <w:pPr>
        <w:tabs>
          <w:tab w:val="num" w:pos="2250"/>
        </w:tabs>
        <w:ind w:left="2250" w:hanging="360"/>
      </w:pPr>
    </w:lvl>
    <w:lvl w:ilvl="5">
      <w:start w:val="1"/>
      <w:numFmt w:val="lowerRoman"/>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lowerLetter"/>
      <w:lvlText w:val="%8."/>
      <w:lvlJc w:val="left"/>
      <w:pPr>
        <w:tabs>
          <w:tab w:val="num" w:pos="3330"/>
        </w:tabs>
        <w:ind w:left="3330" w:hanging="360"/>
      </w:pPr>
    </w:lvl>
    <w:lvl w:ilvl="8">
      <w:start w:val="1"/>
      <w:numFmt w:val="lowerRoman"/>
      <w:lvlText w:val="%9."/>
      <w:lvlJc w:val="left"/>
      <w:pPr>
        <w:tabs>
          <w:tab w:val="num" w:pos="3690"/>
        </w:tabs>
        <w:ind w:left="3690" w:hanging="360"/>
      </w:p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71B6D06"/>
    <w:multiLevelType w:val="hybridMultilevel"/>
    <w:tmpl w:val="AAAAB1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
  </w:num>
  <w:num w:numId="3">
    <w:abstractNumId w:val="0"/>
  </w:num>
  <w:num w:numId="4">
    <w:abstractNumId w:val="26"/>
  </w:num>
  <w:num w:numId="5">
    <w:abstractNumId w:val="6"/>
  </w:num>
  <w:num w:numId="6">
    <w:abstractNumId w:val="16"/>
  </w:num>
  <w:num w:numId="7">
    <w:abstractNumId w:val="10"/>
  </w:num>
  <w:num w:numId="8">
    <w:abstractNumId w:val="15"/>
  </w:num>
  <w:num w:numId="9">
    <w:abstractNumId w:val="29"/>
  </w:num>
  <w:num w:numId="10">
    <w:abstractNumId w:val="32"/>
  </w:num>
  <w:num w:numId="11">
    <w:abstractNumId w:val="12"/>
  </w:num>
  <w:num w:numId="12">
    <w:abstractNumId w:val="28"/>
  </w:num>
  <w:num w:numId="13">
    <w:abstractNumId w:val="27"/>
  </w:num>
  <w:num w:numId="14">
    <w:abstractNumId w:val="18"/>
  </w:num>
  <w:num w:numId="15">
    <w:abstractNumId w:val="24"/>
  </w:num>
  <w:num w:numId="16">
    <w:abstractNumId w:val="8"/>
  </w:num>
  <w:num w:numId="17">
    <w:abstractNumId w:val="14"/>
  </w:num>
  <w:num w:numId="18">
    <w:abstractNumId w:val="7"/>
  </w:num>
  <w:num w:numId="19">
    <w:abstractNumId w:val="11"/>
  </w:num>
  <w:num w:numId="20">
    <w:abstractNumId w:val="33"/>
  </w:num>
  <w:num w:numId="21">
    <w:abstractNumId w:val="34"/>
  </w:num>
  <w:num w:numId="22">
    <w:abstractNumId w:val="3"/>
  </w:num>
  <w:num w:numId="23">
    <w:abstractNumId w:val="19"/>
  </w:num>
  <w:num w:numId="24">
    <w:abstractNumId w:val="22"/>
  </w:num>
  <w:num w:numId="25">
    <w:abstractNumId w:val="20"/>
  </w:num>
  <w:num w:numId="26">
    <w:abstractNumId w:val="13"/>
  </w:num>
  <w:num w:numId="27">
    <w:abstractNumId w:val="17"/>
  </w:num>
  <w:num w:numId="28">
    <w:abstractNumId w:val="4"/>
  </w:num>
  <w:num w:numId="29">
    <w:abstractNumId w:val="2"/>
  </w:num>
  <w:num w:numId="30">
    <w:abstractNumId w:val="9"/>
  </w:num>
  <w:num w:numId="31">
    <w:abstractNumId w:val="21"/>
  </w:num>
  <w:num w:numId="32">
    <w:abstractNumId w:val="23"/>
  </w:num>
  <w:num w:numId="33">
    <w:abstractNumId w:val="25"/>
  </w:num>
  <w:num w:numId="3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7A5"/>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F206E"/>
    <w:rsid w:val="000F2887"/>
    <w:rsid w:val="000F5076"/>
    <w:rsid w:val="00100859"/>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35F8A"/>
    <w:rsid w:val="00144426"/>
    <w:rsid w:val="00146A95"/>
    <w:rsid w:val="00146DBB"/>
    <w:rsid w:val="0015238E"/>
    <w:rsid w:val="001568C1"/>
    <w:rsid w:val="00161CD1"/>
    <w:rsid w:val="0016387D"/>
    <w:rsid w:val="00170B89"/>
    <w:rsid w:val="00173A14"/>
    <w:rsid w:val="00174344"/>
    <w:rsid w:val="00175049"/>
    <w:rsid w:val="001760BC"/>
    <w:rsid w:val="0018297E"/>
    <w:rsid w:val="00183CCA"/>
    <w:rsid w:val="00185D7E"/>
    <w:rsid w:val="00186098"/>
    <w:rsid w:val="00187039"/>
    <w:rsid w:val="001874DD"/>
    <w:rsid w:val="00191210"/>
    <w:rsid w:val="00191733"/>
    <w:rsid w:val="001930F1"/>
    <w:rsid w:val="001A1F99"/>
    <w:rsid w:val="001A58B4"/>
    <w:rsid w:val="001A5C4D"/>
    <w:rsid w:val="001B527B"/>
    <w:rsid w:val="001C336C"/>
    <w:rsid w:val="001C7238"/>
    <w:rsid w:val="001C7559"/>
    <w:rsid w:val="001C7D7B"/>
    <w:rsid w:val="001D1474"/>
    <w:rsid w:val="001D1A9D"/>
    <w:rsid w:val="001D55E0"/>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1D65"/>
    <w:rsid w:val="0020418E"/>
    <w:rsid w:val="00205E35"/>
    <w:rsid w:val="00207D06"/>
    <w:rsid w:val="00212B1D"/>
    <w:rsid w:val="00213A97"/>
    <w:rsid w:val="0021555F"/>
    <w:rsid w:val="00215F58"/>
    <w:rsid w:val="002171A2"/>
    <w:rsid w:val="00221C38"/>
    <w:rsid w:val="002250E9"/>
    <w:rsid w:val="00226B14"/>
    <w:rsid w:val="0023063F"/>
    <w:rsid w:val="00232A40"/>
    <w:rsid w:val="0023367F"/>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67E98"/>
    <w:rsid w:val="002747C3"/>
    <w:rsid w:val="00274AD4"/>
    <w:rsid w:val="00282E89"/>
    <w:rsid w:val="00290792"/>
    <w:rsid w:val="0029133D"/>
    <w:rsid w:val="002913CC"/>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5424"/>
    <w:rsid w:val="003B7B5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06896"/>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E7779"/>
    <w:rsid w:val="004E79B1"/>
    <w:rsid w:val="004F0AAB"/>
    <w:rsid w:val="004F1B12"/>
    <w:rsid w:val="004F1B97"/>
    <w:rsid w:val="004F2FC8"/>
    <w:rsid w:val="004F3059"/>
    <w:rsid w:val="004F3A21"/>
    <w:rsid w:val="004F428F"/>
    <w:rsid w:val="004F5E13"/>
    <w:rsid w:val="005032DF"/>
    <w:rsid w:val="00505423"/>
    <w:rsid w:val="00510D5C"/>
    <w:rsid w:val="00515B9F"/>
    <w:rsid w:val="00516597"/>
    <w:rsid w:val="00516E46"/>
    <w:rsid w:val="00520A6C"/>
    <w:rsid w:val="005219CA"/>
    <w:rsid w:val="00521B12"/>
    <w:rsid w:val="00526346"/>
    <w:rsid w:val="00527116"/>
    <w:rsid w:val="0053254F"/>
    <w:rsid w:val="00533BD1"/>
    <w:rsid w:val="0053526F"/>
    <w:rsid w:val="0053793A"/>
    <w:rsid w:val="00542C5C"/>
    <w:rsid w:val="00545963"/>
    <w:rsid w:val="005459DD"/>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94B13"/>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1E3"/>
    <w:rsid w:val="00607ADB"/>
    <w:rsid w:val="006106D7"/>
    <w:rsid w:val="006113A8"/>
    <w:rsid w:val="00614005"/>
    <w:rsid w:val="006150FE"/>
    <w:rsid w:val="00616791"/>
    <w:rsid w:val="0062188E"/>
    <w:rsid w:val="00624C89"/>
    <w:rsid w:val="00625EC3"/>
    <w:rsid w:val="00626AE0"/>
    <w:rsid w:val="00626F72"/>
    <w:rsid w:val="00632308"/>
    <w:rsid w:val="00632701"/>
    <w:rsid w:val="0063324F"/>
    <w:rsid w:val="00636C8E"/>
    <w:rsid w:val="00640C03"/>
    <w:rsid w:val="00641D33"/>
    <w:rsid w:val="00641E20"/>
    <w:rsid w:val="00643046"/>
    <w:rsid w:val="006457F0"/>
    <w:rsid w:val="00646BA0"/>
    <w:rsid w:val="00650716"/>
    <w:rsid w:val="00650EA1"/>
    <w:rsid w:val="00661D04"/>
    <w:rsid w:val="00662629"/>
    <w:rsid w:val="0066296E"/>
    <w:rsid w:val="00662CD5"/>
    <w:rsid w:val="0066526D"/>
    <w:rsid w:val="00667EB7"/>
    <w:rsid w:val="00671478"/>
    <w:rsid w:val="00672AD3"/>
    <w:rsid w:val="006863E0"/>
    <w:rsid w:val="00694695"/>
    <w:rsid w:val="0069473B"/>
    <w:rsid w:val="0069567A"/>
    <w:rsid w:val="006A0464"/>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E7FC7"/>
    <w:rsid w:val="006F4931"/>
    <w:rsid w:val="006F6D30"/>
    <w:rsid w:val="00700A01"/>
    <w:rsid w:val="00700C7A"/>
    <w:rsid w:val="007010AA"/>
    <w:rsid w:val="007021C2"/>
    <w:rsid w:val="007057D0"/>
    <w:rsid w:val="00706F1F"/>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0CD5"/>
    <w:rsid w:val="00751FA6"/>
    <w:rsid w:val="007563C0"/>
    <w:rsid w:val="00756C42"/>
    <w:rsid w:val="007575ED"/>
    <w:rsid w:val="00762152"/>
    <w:rsid w:val="00771843"/>
    <w:rsid w:val="00772747"/>
    <w:rsid w:val="00773AC9"/>
    <w:rsid w:val="00776C00"/>
    <w:rsid w:val="007804F8"/>
    <w:rsid w:val="007832C5"/>
    <w:rsid w:val="00783B6A"/>
    <w:rsid w:val="007871BF"/>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5873"/>
    <w:rsid w:val="008D6915"/>
    <w:rsid w:val="008E75E4"/>
    <w:rsid w:val="008F174B"/>
    <w:rsid w:val="008F1C58"/>
    <w:rsid w:val="008F222F"/>
    <w:rsid w:val="008F23BB"/>
    <w:rsid w:val="008F72C6"/>
    <w:rsid w:val="00901ABC"/>
    <w:rsid w:val="00902E5B"/>
    <w:rsid w:val="009076FD"/>
    <w:rsid w:val="0090799D"/>
    <w:rsid w:val="009104C5"/>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72A66"/>
    <w:rsid w:val="009740B0"/>
    <w:rsid w:val="00976498"/>
    <w:rsid w:val="0097783A"/>
    <w:rsid w:val="00980511"/>
    <w:rsid w:val="00980C8D"/>
    <w:rsid w:val="009830C1"/>
    <w:rsid w:val="00984184"/>
    <w:rsid w:val="00986D80"/>
    <w:rsid w:val="00993B69"/>
    <w:rsid w:val="00995043"/>
    <w:rsid w:val="00995C32"/>
    <w:rsid w:val="00995D7A"/>
    <w:rsid w:val="00996C02"/>
    <w:rsid w:val="009A0073"/>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9F5C52"/>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624F9"/>
    <w:rsid w:val="00A70114"/>
    <w:rsid w:val="00A723EE"/>
    <w:rsid w:val="00A73B34"/>
    <w:rsid w:val="00A76782"/>
    <w:rsid w:val="00A770BA"/>
    <w:rsid w:val="00A80118"/>
    <w:rsid w:val="00A818D6"/>
    <w:rsid w:val="00A85F06"/>
    <w:rsid w:val="00A9070E"/>
    <w:rsid w:val="00A91FA0"/>
    <w:rsid w:val="00A960A2"/>
    <w:rsid w:val="00AA11F3"/>
    <w:rsid w:val="00AA1C67"/>
    <w:rsid w:val="00AA2C7A"/>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252CD"/>
    <w:rsid w:val="00B335C2"/>
    <w:rsid w:val="00B361C1"/>
    <w:rsid w:val="00B41F1A"/>
    <w:rsid w:val="00B43557"/>
    <w:rsid w:val="00B51AFB"/>
    <w:rsid w:val="00B52723"/>
    <w:rsid w:val="00B53842"/>
    <w:rsid w:val="00B547BD"/>
    <w:rsid w:val="00B54D21"/>
    <w:rsid w:val="00B54EB7"/>
    <w:rsid w:val="00B5562F"/>
    <w:rsid w:val="00B62AF4"/>
    <w:rsid w:val="00B638D8"/>
    <w:rsid w:val="00B71CD0"/>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6BC7"/>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127"/>
    <w:rsid w:val="00CA272D"/>
    <w:rsid w:val="00CA4CD2"/>
    <w:rsid w:val="00CA4FB7"/>
    <w:rsid w:val="00CA58E8"/>
    <w:rsid w:val="00CA7A74"/>
    <w:rsid w:val="00CB06F5"/>
    <w:rsid w:val="00CB171A"/>
    <w:rsid w:val="00CB1A8F"/>
    <w:rsid w:val="00CB33D5"/>
    <w:rsid w:val="00CB54D9"/>
    <w:rsid w:val="00CB68CD"/>
    <w:rsid w:val="00CC0EFD"/>
    <w:rsid w:val="00CC21AC"/>
    <w:rsid w:val="00CC3E96"/>
    <w:rsid w:val="00CD03CC"/>
    <w:rsid w:val="00CD0528"/>
    <w:rsid w:val="00CD0990"/>
    <w:rsid w:val="00CD1EE0"/>
    <w:rsid w:val="00CD682B"/>
    <w:rsid w:val="00CE2938"/>
    <w:rsid w:val="00CE32C4"/>
    <w:rsid w:val="00CE5015"/>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1807"/>
    <w:rsid w:val="00D53A57"/>
    <w:rsid w:val="00D54561"/>
    <w:rsid w:val="00D61993"/>
    <w:rsid w:val="00D622CD"/>
    <w:rsid w:val="00D70A35"/>
    <w:rsid w:val="00D717F4"/>
    <w:rsid w:val="00D72E94"/>
    <w:rsid w:val="00D7349B"/>
    <w:rsid w:val="00D737B0"/>
    <w:rsid w:val="00D75B02"/>
    <w:rsid w:val="00D80DAF"/>
    <w:rsid w:val="00D852A2"/>
    <w:rsid w:val="00D93F55"/>
    <w:rsid w:val="00DA29C7"/>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40BC"/>
    <w:rsid w:val="00E2659C"/>
    <w:rsid w:val="00E2710F"/>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2AD5"/>
    <w:rsid w:val="00E6405E"/>
    <w:rsid w:val="00E72E6D"/>
    <w:rsid w:val="00E75AAC"/>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51AD"/>
    <w:rsid w:val="00EB6A4A"/>
    <w:rsid w:val="00EC44AB"/>
    <w:rsid w:val="00EC71E0"/>
    <w:rsid w:val="00ED0F93"/>
    <w:rsid w:val="00ED3BE3"/>
    <w:rsid w:val="00ED4FB8"/>
    <w:rsid w:val="00EE159F"/>
    <w:rsid w:val="00EE1FA1"/>
    <w:rsid w:val="00EE27A8"/>
    <w:rsid w:val="00EE2D30"/>
    <w:rsid w:val="00EE398A"/>
    <w:rsid w:val="00EE7D57"/>
    <w:rsid w:val="00EF2238"/>
    <w:rsid w:val="00EF2551"/>
    <w:rsid w:val="00EF293C"/>
    <w:rsid w:val="00EF3B57"/>
    <w:rsid w:val="00F010C3"/>
    <w:rsid w:val="00F0430A"/>
    <w:rsid w:val="00F04498"/>
    <w:rsid w:val="00F04EB5"/>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C85"/>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E0A1E"/>
  <w15:chartTrackingRefBased/>
  <w15:docId w15:val="{F70466A2-3332-4E1F-9C3B-59FD080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F19"/>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UnresolvedMention">
    <w:name w:val="Unresolved Mention"/>
    <w:uiPriority w:val="99"/>
    <w:semiHidden/>
    <w:unhideWhenUsed/>
    <w:rsid w:val="00790ACF"/>
    <w:rPr>
      <w:color w:val="605E5C"/>
      <w:shd w:val="clear" w:color="auto" w:fill="E1DFDD"/>
    </w:rPr>
  </w:style>
  <w:style w:type="character" w:styleId="Strong">
    <w:name w:val="Strong"/>
    <w:uiPriority w:val="22"/>
    <w:qFormat/>
    <w:rsid w:val="00CE5015"/>
    <w:rPr>
      <w:b/>
      <w:bCs/>
    </w:rPr>
  </w:style>
  <w:style w:type="paragraph" w:styleId="NormalWeb">
    <w:name w:val="Normal (Web)"/>
    <w:basedOn w:val="Normal"/>
    <w:uiPriority w:val="99"/>
    <w:unhideWhenUsed/>
    <w:rsid w:val="00632308"/>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544684102">
      <w:bodyDiv w:val="1"/>
      <w:marLeft w:val="0"/>
      <w:marRight w:val="0"/>
      <w:marTop w:val="0"/>
      <w:marBottom w:val="0"/>
      <w:divBdr>
        <w:top w:val="none" w:sz="0" w:space="0" w:color="auto"/>
        <w:left w:val="none" w:sz="0" w:space="0" w:color="auto"/>
        <w:bottom w:val="none" w:sz="0" w:space="0" w:color="auto"/>
        <w:right w:val="none" w:sz="0" w:space="0" w:color="auto"/>
      </w:divBdr>
      <w:divsChild>
        <w:div w:id="110804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mailto:nshpp@bashkiashkoder.gov.a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FFFE1-2969-4502-AE50-4231BBBA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201</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Stela Mardusha</cp:lastModifiedBy>
  <cp:revision>41</cp:revision>
  <cp:lastPrinted>2014-03-20T14:50:00Z</cp:lastPrinted>
  <dcterms:created xsi:type="dcterms:W3CDTF">2025-11-11T14:52:00Z</dcterms:created>
  <dcterms:modified xsi:type="dcterms:W3CDTF">2026-03-17T10:34:00Z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